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220" w:lineRule="atLeast"/>
        <w:rPr>
          <w:rFonts w:hint="default" w:ascii="Times New Roman" w:hAnsi="Times New Roman" w:eastAsia="黑体" w:cs="Times New Roman"/>
          <w:bCs/>
          <w:color w:val="0000FF"/>
          <w:sz w:val="24"/>
          <w:szCs w:val="24"/>
        </w:rPr>
      </w:pPr>
    </w:p>
    <w:p>
      <w:pPr>
        <w:spacing w:line="360" w:lineRule="auto"/>
        <w:jc w:val="center"/>
        <w:rPr>
          <w:rFonts w:hint="default" w:ascii="Times New Roman" w:hAnsi="Times New Roman" w:eastAsia="仿宋_GB2312" w:cs="Times New Roman"/>
          <w:color w:val="0000FF"/>
          <w:sz w:val="28"/>
        </w:rPr>
      </w:pPr>
    </w:p>
    <w:p>
      <w:pPr>
        <w:spacing w:line="360" w:lineRule="auto"/>
        <w:jc w:val="center"/>
        <w:rPr>
          <w:rFonts w:hint="default" w:ascii="Times New Roman" w:hAnsi="Times New Roman" w:eastAsia="仿宋_GB2312" w:cs="Times New Roman"/>
          <w:color w:val="0000FF"/>
          <w:sz w:val="28"/>
        </w:rPr>
      </w:pPr>
    </w:p>
    <w:p>
      <w:pPr>
        <w:spacing w:line="360" w:lineRule="auto"/>
        <w:jc w:val="center"/>
        <w:rPr>
          <w:rFonts w:hint="default" w:ascii="Times New Roman" w:hAnsi="Times New Roman" w:eastAsia="仿宋_GB2312" w:cs="Times New Roman"/>
          <w:color w:val="0000FF"/>
          <w:sz w:val="28"/>
        </w:rPr>
      </w:pPr>
    </w:p>
    <w:p>
      <w:pPr>
        <w:spacing w:line="360" w:lineRule="auto"/>
        <w:jc w:val="center"/>
        <w:rPr>
          <w:rFonts w:hint="default" w:ascii="Times New Roman" w:hAnsi="Times New Roman" w:eastAsia="华文新魏" w:cs="Times New Roman"/>
          <w:b/>
          <w:color w:val="auto"/>
          <w:sz w:val="48"/>
          <w:szCs w:val="48"/>
          <w:lang w:eastAsia="zh-CN"/>
        </w:rPr>
      </w:pPr>
      <w:r>
        <w:rPr>
          <w:rFonts w:hint="eastAsia" w:ascii="Times New Roman" w:hAnsi="Times New Roman" w:eastAsia="华文新魏" w:cs="Times New Roman"/>
          <w:b/>
          <w:bCs/>
          <w:color w:val="auto"/>
          <w:sz w:val="48"/>
          <w:szCs w:val="48"/>
          <w:lang w:eastAsia="zh-CN"/>
        </w:rPr>
        <w:t>木托盘、包装木箱生产线建设项目</w:t>
      </w:r>
    </w:p>
    <w:p>
      <w:pPr>
        <w:spacing w:line="360" w:lineRule="auto"/>
        <w:jc w:val="center"/>
        <w:rPr>
          <w:rFonts w:hint="default" w:ascii="Times New Roman" w:hAnsi="Times New Roman" w:eastAsia="华文新魏" w:cs="Times New Roman"/>
          <w:color w:val="auto"/>
          <w:sz w:val="48"/>
          <w:szCs w:val="48"/>
        </w:rPr>
      </w:pPr>
      <w:r>
        <w:rPr>
          <w:rFonts w:hint="default" w:ascii="Times New Roman" w:hAnsi="Times New Roman" w:eastAsia="华文新魏" w:cs="Times New Roman"/>
          <w:b/>
          <w:color w:val="auto"/>
          <w:sz w:val="48"/>
          <w:szCs w:val="48"/>
        </w:rPr>
        <w:t>竣工环境保护验收监测报告表</w:t>
      </w:r>
    </w:p>
    <w:p>
      <w:pPr>
        <w:spacing w:line="360" w:lineRule="auto"/>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rPr>
          <w:rFonts w:hint="default" w:ascii="Times New Roman" w:hAnsi="Times New Roman" w:eastAsia="仿宋_GB2312" w:cs="Times New Roman"/>
          <w:color w:val="auto"/>
          <w:sz w:val="28"/>
        </w:rPr>
      </w:pPr>
    </w:p>
    <w:p>
      <w:pPr>
        <w:rPr>
          <w:rFonts w:hint="default" w:ascii="Times New Roman" w:hAnsi="Times New Roman" w:eastAsia="华文新魏" w:cs="Times New Roman"/>
          <w:color w:val="auto"/>
          <w:sz w:val="28"/>
          <w:szCs w:val="28"/>
        </w:rPr>
      </w:pPr>
      <w:r>
        <w:rPr>
          <w:rFonts w:hint="default" w:ascii="Times New Roman" w:hAnsi="Times New Roman" w:eastAsia="仿宋_GB2312" w:cs="Times New Roman"/>
          <w:color w:val="auto"/>
          <w:sz w:val="28"/>
        </w:rPr>
        <w:tab/>
      </w:r>
    </w:p>
    <w:p>
      <w:pPr>
        <w:jc w:val="center"/>
        <w:rPr>
          <w:rFonts w:hint="default" w:ascii="Times New Roman" w:hAnsi="Times New Roman" w:eastAsia="华文新魏" w:cs="Times New Roman"/>
          <w:color w:val="auto"/>
          <w:sz w:val="28"/>
          <w:szCs w:val="28"/>
          <w:lang w:eastAsia="zh-CN"/>
        </w:rPr>
      </w:pPr>
      <w:r>
        <w:rPr>
          <w:rFonts w:hint="default" w:ascii="Times New Roman" w:hAnsi="Times New Roman" w:eastAsia="华文新魏" w:cs="Times New Roman"/>
          <w:color w:val="auto"/>
          <w:sz w:val="28"/>
          <w:szCs w:val="28"/>
        </w:rPr>
        <w:t>建设单位</w:t>
      </w:r>
      <w:r>
        <w:rPr>
          <w:rFonts w:hint="default" w:ascii="Times New Roman" w:hAnsi="Times New Roman" w:eastAsia="华文新魏" w:cs="Times New Roman"/>
          <w:color w:val="auto"/>
          <w:sz w:val="28"/>
          <w:szCs w:val="28"/>
          <w:lang w:eastAsia="zh-CN"/>
        </w:rPr>
        <w:t>：</w:t>
      </w:r>
      <w:r>
        <w:rPr>
          <w:rFonts w:hint="eastAsia" w:ascii="Times New Roman" w:hAnsi="Times New Roman" w:eastAsia="华文新魏" w:cs="Times New Roman"/>
          <w:color w:val="auto"/>
          <w:sz w:val="28"/>
          <w:szCs w:val="28"/>
          <w:lang w:eastAsia="zh-CN"/>
        </w:rPr>
        <w:t>山东南山铝业股份有限公司</w:t>
      </w:r>
    </w:p>
    <w:p>
      <w:pPr>
        <w:jc w:val="center"/>
        <w:rPr>
          <w:rFonts w:hint="default" w:ascii="Times New Roman" w:hAnsi="Times New Roman" w:eastAsia="华文新魏" w:cs="Times New Roman"/>
          <w:color w:val="auto"/>
          <w:sz w:val="28"/>
          <w:szCs w:val="28"/>
          <w:lang w:eastAsia="zh-CN"/>
        </w:rPr>
      </w:pPr>
      <w:r>
        <w:rPr>
          <w:rFonts w:hint="default" w:ascii="Times New Roman" w:hAnsi="Times New Roman" w:eastAsia="华文新魏" w:cs="Times New Roman"/>
          <w:color w:val="auto"/>
          <w:sz w:val="28"/>
          <w:szCs w:val="28"/>
        </w:rPr>
        <w:t>编制单位</w:t>
      </w:r>
      <w:r>
        <w:rPr>
          <w:rFonts w:hint="default" w:ascii="Times New Roman" w:hAnsi="Times New Roman" w:eastAsia="华文新魏" w:cs="Times New Roman"/>
          <w:color w:val="auto"/>
          <w:sz w:val="28"/>
          <w:szCs w:val="28"/>
          <w:lang w:eastAsia="zh-CN"/>
        </w:rPr>
        <w:t>：</w:t>
      </w:r>
      <w:r>
        <w:rPr>
          <w:rFonts w:hint="eastAsia" w:ascii="Times New Roman" w:hAnsi="Times New Roman" w:eastAsia="华文新魏" w:cs="Times New Roman"/>
          <w:color w:val="000000"/>
          <w:sz w:val="28"/>
          <w:szCs w:val="28"/>
          <w:highlight w:val="none"/>
        </w:rPr>
        <w:t>烟台嘉隆技术咨询有限公司</w:t>
      </w:r>
    </w:p>
    <w:p>
      <w:pPr>
        <w:rPr>
          <w:rFonts w:hint="default" w:ascii="Times New Roman" w:hAnsi="Times New Roman" w:eastAsia="仿宋_GB2312" w:cs="Times New Roman"/>
          <w:color w:val="auto"/>
          <w:sz w:val="28"/>
        </w:rPr>
      </w:pPr>
    </w:p>
    <w:p>
      <w:pPr>
        <w:rPr>
          <w:rFonts w:hint="default" w:ascii="Times New Roman" w:hAnsi="Times New Roman" w:eastAsia="仿宋_GB2312" w:cs="Times New Roman"/>
          <w:color w:val="auto"/>
          <w:sz w:val="28"/>
        </w:rPr>
      </w:pPr>
    </w:p>
    <w:p>
      <w:pPr>
        <w:rPr>
          <w:rFonts w:hint="default" w:ascii="Times New Roman" w:hAnsi="Times New Roman" w:eastAsia="华文新魏" w:cs="Times New Roman"/>
          <w:color w:val="auto"/>
          <w:sz w:val="28"/>
          <w:szCs w:val="28"/>
        </w:rPr>
      </w:pPr>
    </w:p>
    <w:p>
      <w:pPr>
        <w:jc w:val="center"/>
        <w:rPr>
          <w:rFonts w:hint="default" w:ascii="Times New Roman" w:hAnsi="Times New Roman" w:eastAsia="华文新魏" w:cs="Times New Roman"/>
          <w:b/>
          <w:color w:val="auto"/>
          <w:sz w:val="28"/>
          <w:szCs w:val="28"/>
        </w:rPr>
      </w:pPr>
    </w:p>
    <w:p>
      <w:pPr>
        <w:jc w:val="center"/>
        <w:rPr>
          <w:rFonts w:hint="default" w:ascii="Times New Roman" w:hAnsi="Times New Roman" w:eastAsia="华文新魏" w:cs="Times New Roman"/>
          <w:b/>
          <w:color w:val="auto"/>
          <w:sz w:val="28"/>
          <w:szCs w:val="28"/>
        </w:rPr>
      </w:pPr>
    </w:p>
    <w:p>
      <w:pPr>
        <w:jc w:val="center"/>
        <w:rPr>
          <w:rFonts w:hint="default" w:ascii="Times New Roman" w:hAnsi="Times New Roman" w:eastAsia="华文新魏" w:cs="Times New Roman"/>
          <w:b/>
          <w:color w:val="auto"/>
          <w:sz w:val="28"/>
          <w:szCs w:val="28"/>
        </w:rPr>
      </w:pPr>
    </w:p>
    <w:p>
      <w:pPr>
        <w:jc w:val="center"/>
        <w:rPr>
          <w:rFonts w:hint="default" w:ascii="Times New Roman" w:hAnsi="Times New Roman" w:eastAsia="华文新魏" w:cs="Times New Roman"/>
          <w:b/>
          <w:color w:val="auto"/>
          <w:sz w:val="28"/>
          <w:szCs w:val="28"/>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r>
        <w:rPr>
          <w:rFonts w:hint="default" w:ascii="Times New Roman" w:hAnsi="Times New Roman" w:eastAsia="华文新魏" w:cs="Times New Roman"/>
          <w:b/>
          <w:color w:val="auto"/>
          <w:sz w:val="28"/>
          <w:szCs w:val="28"/>
        </w:rPr>
        <w:t>20</w:t>
      </w:r>
      <w:r>
        <w:rPr>
          <w:rFonts w:hint="default" w:ascii="Times New Roman" w:hAnsi="Times New Roman" w:eastAsia="华文新魏" w:cs="Times New Roman"/>
          <w:b/>
          <w:color w:val="auto"/>
          <w:sz w:val="28"/>
          <w:szCs w:val="28"/>
          <w:lang w:val="en-US" w:eastAsia="zh-CN"/>
        </w:rPr>
        <w:t>2</w:t>
      </w:r>
      <w:r>
        <w:rPr>
          <w:rFonts w:hint="eastAsia" w:ascii="Times New Roman" w:hAnsi="Times New Roman" w:eastAsia="华文新魏" w:cs="Times New Roman"/>
          <w:b/>
          <w:color w:val="auto"/>
          <w:sz w:val="28"/>
          <w:szCs w:val="28"/>
          <w:lang w:val="en-US" w:eastAsia="zh-CN"/>
        </w:rPr>
        <w:t>3</w:t>
      </w:r>
      <w:r>
        <w:rPr>
          <w:rFonts w:hint="default" w:ascii="Times New Roman" w:hAnsi="Times New Roman" w:eastAsia="华文新魏" w:cs="Times New Roman"/>
          <w:b/>
          <w:color w:val="auto"/>
          <w:sz w:val="28"/>
          <w:szCs w:val="28"/>
        </w:rPr>
        <w:t>年</w:t>
      </w:r>
      <w:r>
        <w:rPr>
          <w:rFonts w:hint="eastAsia" w:ascii="Times New Roman" w:hAnsi="Times New Roman" w:eastAsia="华文新魏" w:cs="Times New Roman"/>
          <w:b/>
          <w:color w:val="auto"/>
          <w:sz w:val="28"/>
          <w:szCs w:val="28"/>
          <w:lang w:val="en-US" w:eastAsia="zh-CN"/>
        </w:rPr>
        <w:t>2</w:t>
      </w:r>
      <w:r>
        <w:rPr>
          <w:rFonts w:hint="default" w:ascii="Times New Roman" w:hAnsi="Times New Roman" w:eastAsia="华文新魏" w:cs="Times New Roman"/>
          <w:b/>
          <w:color w:val="auto"/>
          <w:sz w:val="28"/>
          <w:szCs w:val="28"/>
        </w:rPr>
        <w:t>月</w:t>
      </w:r>
    </w:p>
    <w:p>
      <w:pPr>
        <w:rPr>
          <w:rFonts w:hint="default" w:ascii="Times New Roman" w:hAnsi="Times New Roman" w:cs="Times New Roman"/>
          <w:color w:val="0000FF"/>
        </w:rPr>
        <w:sectPr>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rPr>
          <w:rFonts w:hint="default" w:ascii="Times New Roman" w:hAnsi="Times New Roman" w:eastAsia="仿宋_GB2312" w:cs="Times New Roman"/>
          <w:color w:val="auto"/>
          <w:sz w:val="32"/>
        </w:rPr>
      </w:pPr>
      <w:r>
        <w:rPr>
          <w:rFonts w:hint="default" w:ascii="Times New Roman" w:hAnsi="Times New Roman" w:eastAsia="仿宋_GB2312" w:cs="Times New Roman"/>
          <w:b/>
          <w:color w:val="auto"/>
          <w:sz w:val="28"/>
        </w:rPr>
        <w:tab/>
      </w:r>
    </w:p>
    <w:p>
      <w:pPr>
        <w:spacing w:line="360" w:lineRule="auto"/>
        <w:rPr>
          <w:rFonts w:hint="default" w:ascii="Times New Roman" w:hAnsi="Times New Roman" w:eastAsia="仿宋_GB2312" w:cs="Times New Roman"/>
          <w:b/>
          <w:bCs/>
          <w:color w:val="auto"/>
          <w:sz w:val="28"/>
          <w:highlight w:val="none"/>
          <w:lang w:val="en-US" w:eastAsia="zh-CN"/>
        </w:rPr>
      </w:pPr>
      <w:r>
        <w:rPr>
          <w:rFonts w:hint="default" w:ascii="Times New Roman" w:hAnsi="Times New Roman" w:eastAsia="仿宋_GB2312" w:cs="Times New Roman"/>
          <w:b/>
          <w:color w:val="auto"/>
          <w:sz w:val="28"/>
          <w:highlight w:val="none"/>
        </w:rPr>
        <w:t>建设单位法人代表</w:t>
      </w:r>
      <w:r>
        <w:rPr>
          <w:rFonts w:hint="default" w:ascii="Times New Roman" w:hAnsi="Times New Roman" w:eastAsia="仿宋_GB2312" w:cs="Times New Roman"/>
          <w:b/>
          <w:color w:val="auto"/>
          <w:sz w:val="28"/>
          <w:highlight w:val="none"/>
          <w:lang w:eastAsia="zh-CN"/>
        </w:rPr>
        <w:t>：</w:t>
      </w:r>
      <w:r>
        <w:rPr>
          <w:rFonts w:hint="eastAsia" w:ascii="Times New Roman" w:hAnsi="Times New Roman" w:eastAsia="仿宋_GB2312" w:cs="Times New Roman"/>
          <w:b/>
          <w:color w:val="auto"/>
          <w:sz w:val="28"/>
          <w:highlight w:val="none"/>
          <w:lang w:val="en-US" w:eastAsia="zh-CN"/>
        </w:rPr>
        <w:t>吕正风</w:t>
      </w:r>
    </w:p>
    <w:p>
      <w:pPr>
        <w:spacing w:line="360" w:lineRule="auto"/>
        <w:rPr>
          <w:rFonts w:hint="default" w:ascii="Times New Roman" w:hAnsi="Times New Roman" w:eastAsia="仿宋_GB2312" w:cs="Times New Roman"/>
          <w:b/>
          <w:bCs/>
          <w:color w:val="auto"/>
          <w:sz w:val="28"/>
          <w:highlight w:val="none"/>
          <w:lang w:eastAsia="zh-CN"/>
        </w:rPr>
      </w:pPr>
      <w:r>
        <w:rPr>
          <w:rFonts w:hint="default" w:ascii="Times New Roman" w:hAnsi="Times New Roman" w:eastAsia="仿宋_GB2312" w:cs="Times New Roman"/>
          <w:b/>
          <w:bCs/>
          <w:color w:val="auto"/>
          <w:sz w:val="28"/>
          <w:highlight w:val="none"/>
        </w:rPr>
        <w:t>编制单位法人代表</w:t>
      </w:r>
      <w:r>
        <w:rPr>
          <w:rFonts w:hint="default" w:ascii="Times New Roman" w:hAnsi="Times New Roman" w:eastAsia="仿宋_GB2312" w:cs="Times New Roman"/>
          <w:b/>
          <w:bCs/>
          <w:color w:val="auto"/>
          <w:sz w:val="28"/>
          <w:highlight w:val="none"/>
          <w:lang w:eastAsia="zh-CN"/>
        </w:rPr>
        <w:t>：崔常政</w:t>
      </w:r>
    </w:p>
    <w:p>
      <w:pPr>
        <w:spacing w:line="360" w:lineRule="auto"/>
        <w:rPr>
          <w:rFonts w:hint="default" w:ascii="Times New Roman" w:hAnsi="Times New Roman" w:eastAsia="仿宋_GB2312" w:cs="Times New Roman"/>
          <w:b/>
          <w:color w:val="000000"/>
          <w:spacing w:val="7"/>
          <w:sz w:val="28"/>
          <w:highlight w:val="none"/>
          <w:lang w:val="en-US" w:eastAsia="zh-CN"/>
        </w:rPr>
      </w:pPr>
      <w:r>
        <w:rPr>
          <w:rFonts w:hint="eastAsia" w:ascii="Times New Roman" w:hAnsi="Times New Roman" w:eastAsia="仿宋_GB2312" w:cs="Times New Roman"/>
          <w:b/>
          <w:color w:val="000000"/>
          <w:spacing w:val="20"/>
          <w:sz w:val="28"/>
          <w:highlight w:val="none"/>
          <w:lang w:val="en-US" w:eastAsia="zh-CN"/>
        </w:rPr>
        <w:t>报告编制人:于佳宏</w:t>
      </w:r>
    </w:p>
    <w:p>
      <w:pPr>
        <w:spacing w:line="360" w:lineRule="auto"/>
        <w:rPr>
          <w:rFonts w:hint="default" w:ascii="Times New Roman" w:hAnsi="Times New Roman" w:eastAsia="仿宋_GB2312" w:cs="Times New Roman"/>
          <w:color w:val="0000FF"/>
          <w:sz w:val="28"/>
        </w:rPr>
      </w:pPr>
      <w:r>
        <w:rPr>
          <w:rFonts w:hint="default" w:ascii="Times New Roman" w:hAnsi="Times New Roman" w:eastAsia="仿宋_GB2312" w:cs="Times New Roman"/>
          <w:color w:val="0000FF"/>
          <w:sz w:val="28"/>
        </w:rPr>
        <w:tab/>
      </w:r>
    </w:p>
    <w:p>
      <w:pPr>
        <w:spacing w:line="360" w:lineRule="auto"/>
        <w:rPr>
          <w:rFonts w:hint="default" w:ascii="Times New Roman" w:hAnsi="Times New Roman" w:eastAsia="仿宋_GB2312" w:cs="Times New Roman"/>
          <w:color w:val="0000FF"/>
          <w:sz w:val="28"/>
        </w:rPr>
      </w:pPr>
    </w:p>
    <w:p>
      <w:pPr>
        <w:spacing w:line="360" w:lineRule="auto"/>
        <w:rPr>
          <w:rFonts w:hint="default" w:ascii="Times New Roman" w:hAnsi="Times New Roman" w:eastAsia="仿宋_GB2312" w:cs="Times New Roman"/>
          <w:color w:val="0000FF"/>
          <w:sz w:val="28"/>
        </w:rPr>
      </w:pPr>
    </w:p>
    <w:p>
      <w:pPr>
        <w:spacing w:line="360" w:lineRule="auto"/>
        <w:rPr>
          <w:rFonts w:hint="default" w:ascii="Times New Roman" w:hAnsi="Times New Roman" w:eastAsia="仿宋_GB2312" w:cs="Times New Roman"/>
          <w:color w:val="0000FF"/>
          <w:sz w:val="28"/>
        </w:rPr>
      </w:pPr>
    </w:p>
    <w:p>
      <w:pPr>
        <w:spacing w:line="360" w:lineRule="auto"/>
        <w:rPr>
          <w:rFonts w:hint="default" w:ascii="Times New Roman" w:hAnsi="Times New Roman" w:eastAsia="仿宋_GB2312" w:cs="Times New Roman"/>
          <w:color w:val="auto"/>
          <w:sz w:val="28"/>
        </w:rPr>
      </w:pPr>
    </w:p>
    <w:p>
      <w:pPr>
        <w:spacing w:line="360" w:lineRule="auto"/>
        <w:rPr>
          <w:rFonts w:hint="default" w:ascii="Times New Roman" w:hAnsi="Times New Roman" w:eastAsia="仿宋_GB2312" w:cs="Times New Roman"/>
          <w:color w:val="auto"/>
          <w:sz w:val="28"/>
        </w:rPr>
      </w:pP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04"/>
        <w:gridCol w:w="285"/>
        <w:gridCol w:w="4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408" w:type="pct"/>
            <w:vAlign w:val="bottom"/>
          </w:tcPr>
          <w:p>
            <w:pPr>
              <w:widowControl/>
              <w:spacing w:after="0" w:line="360" w:lineRule="auto"/>
              <w:jc w:val="both"/>
              <w:rPr>
                <w:rFonts w:hint="default" w:ascii="Times New Roman" w:hAnsi="Times New Roman" w:cs="Times New Roman"/>
                <w:color w:val="auto"/>
              </w:rPr>
            </w:pPr>
            <w:r>
              <w:rPr>
                <w:rFonts w:hint="default" w:ascii="Times New Roman" w:hAnsi="Times New Roman" w:eastAsia="仿宋_GB2312" w:cs="Times New Roman"/>
                <w:color w:val="auto"/>
                <w:sz w:val="28"/>
              </w:rPr>
              <w:t>建设单位：</w:t>
            </w:r>
            <w:r>
              <w:rPr>
                <w:rFonts w:hint="eastAsia" w:ascii="Times New Roman" w:hAnsi="Times New Roman" w:eastAsia="仿宋_GB2312" w:cs="Times New Roman"/>
                <w:color w:val="auto"/>
                <w:sz w:val="28"/>
                <w:lang w:eastAsia="zh-CN"/>
              </w:rPr>
              <w:t>山东南山铝业股份有限公司</w:t>
            </w:r>
            <w:r>
              <w:rPr>
                <w:rFonts w:hint="default" w:ascii="Times New Roman" w:hAnsi="Times New Roman" w:eastAsia="仿宋_GB2312" w:cs="Times New Roman"/>
                <w:color w:val="auto"/>
                <w:sz w:val="28"/>
              </w:rPr>
              <w:t>（盖章）</w:t>
            </w:r>
          </w:p>
        </w:tc>
        <w:tc>
          <w:tcPr>
            <w:tcW w:w="167" w:type="pct"/>
            <w:vAlign w:val="bottom"/>
          </w:tcPr>
          <w:p>
            <w:pPr>
              <w:widowControl/>
              <w:spacing w:after="0" w:line="360" w:lineRule="auto"/>
              <w:jc w:val="both"/>
              <w:rPr>
                <w:rFonts w:hint="default" w:ascii="Times New Roman" w:hAnsi="Times New Roman" w:eastAsia="仿宋_GB2312" w:cs="Times New Roman"/>
                <w:color w:val="auto"/>
                <w:sz w:val="28"/>
              </w:rPr>
            </w:pPr>
          </w:p>
        </w:tc>
        <w:tc>
          <w:tcPr>
            <w:tcW w:w="2423" w:type="pct"/>
            <w:vAlign w:val="bottom"/>
          </w:tcPr>
          <w:p>
            <w:pPr>
              <w:widowControl/>
              <w:spacing w:after="0" w:line="360" w:lineRule="auto"/>
              <w:jc w:val="both"/>
              <w:rPr>
                <w:rFonts w:hint="default" w:ascii="Times New Roman" w:hAnsi="Times New Roman" w:cs="Times New Roman"/>
                <w:color w:val="auto"/>
              </w:rPr>
            </w:pPr>
            <w:r>
              <w:rPr>
                <w:rFonts w:ascii="Times New Roman" w:hAnsi="Times New Roman" w:eastAsia="仿宋_GB2312" w:cs="Times New Roman"/>
                <w:color w:val="000000"/>
                <w:sz w:val="28"/>
                <w:highlight w:val="none"/>
              </w:rPr>
              <w:t>编制单位：</w:t>
            </w:r>
            <w:r>
              <w:rPr>
                <w:rFonts w:hint="eastAsia" w:ascii="Times New Roman" w:hAnsi="Times New Roman" w:eastAsia="仿宋_GB2312" w:cs="Times New Roman"/>
                <w:color w:val="000000"/>
                <w:sz w:val="28"/>
                <w:highlight w:val="none"/>
              </w:rPr>
              <w:t>烟台嘉隆技术咨询有限公司</w:t>
            </w:r>
            <w:r>
              <w:rPr>
                <w:rFonts w:ascii="Times New Roman" w:hAnsi="Times New Roman" w:eastAsia="仿宋_GB2312" w:cs="Times New Roman"/>
                <w:color w:val="000000"/>
                <w:sz w:val="28"/>
                <w:highlight w:val="none"/>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08" w:type="pct"/>
            <w:vAlign w:val="bottom"/>
          </w:tcPr>
          <w:p>
            <w:pPr>
              <w:widowControl/>
              <w:spacing w:after="0" w:line="360" w:lineRule="auto"/>
              <w:jc w:val="both"/>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z w:val="28"/>
                <w:highlight w:val="none"/>
              </w:rPr>
              <w:t>电话</w:t>
            </w:r>
            <w:r>
              <w:rPr>
                <w:rFonts w:hint="default" w:ascii="Times New Roman" w:hAnsi="Times New Roman" w:eastAsia="仿宋_GB2312" w:cs="Times New Roman"/>
                <w:color w:val="auto"/>
                <w:sz w:val="28"/>
                <w:highlight w:val="none"/>
                <w:lang w:eastAsia="zh-CN"/>
              </w:rPr>
              <w:t>：</w:t>
            </w:r>
            <w:r>
              <w:rPr>
                <w:rFonts w:hint="eastAsia" w:ascii="Times New Roman" w:hAnsi="Times New Roman" w:eastAsia="仿宋_GB2312" w:cs="Times New Roman"/>
                <w:color w:val="auto"/>
                <w:sz w:val="28"/>
                <w:highlight w:val="none"/>
                <w:lang w:val="en-US" w:eastAsia="zh-CN"/>
              </w:rPr>
              <w:t>15053588608</w:t>
            </w:r>
          </w:p>
        </w:tc>
        <w:tc>
          <w:tcPr>
            <w:tcW w:w="167" w:type="pct"/>
            <w:vAlign w:val="bottom"/>
          </w:tcPr>
          <w:p>
            <w:pPr>
              <w:widowControl/>
              <w:spacing w:after="0" w:line="360" w:lineRule="auto"/>
              <w:jc w:val="both"/>
              <w:rPr>
                <w:rFonts w:hint="default" w:ascii="Times New Roman" w:hAnsi="Times New Roman" w:eastAsia="仿宋_GB2312" w:cs="Times New Roman"/>
                <w:color w:val="auto"/>
                <w:sz w:val="28"/>
                <w:highlight w:val="none"/>
              </w:rPr>
            </w:pPr>
          </w:p>
        </w:tc>
        <w:tc>
          <w:tcPr>
            <w:tcW w:w="2423" w:type="pct"/>
            <w:vAlign w:val="bottom"/>
          </w:tcPr>
          <w:p>
            <w:pPr>
              <w:widowControl/>
              <w:spacing w:after="0" w:line="360" w:lineRule="auto"/>
              <w:jc w:val="both"/>
              <w:rPr>
                <w:rFonts w:hint="default" w:ascii="Times New Roman" w:hAnsi="Times New Roman" w:eastAsia="仿宋_GB2312" w:cs="Times New Roman"/>
                <w:color w:val="auto"/>
                <w:highlight w:val="none"/>
                <w:lang w:eastAsia="zh-CN"/>
              </w:rPr>
            </w:pPr>
            <w:r>
              <w:rPr>
                <w:rFonts w:ascii="Times New Roman" w:hAnsi="Times New Roman" w:eastAsia="仿宋_GB2312" w:cs="Times New Roman"/>
                <w:color w:val="000000"/>
                <w:sz w:val="28"/>
                <w:highlight w:val="none"/>
              </w:rPr>
              <w:t>电话:</w:t>
            </w:r>
            <w:r>
              <w:rPr>
                <w:rFonts w:hint="eastAsia" w:ascii="Times New Roman" w:hAnsi="Times New Roman" w:eastAsia="仿宋_GB2312" w:cs="Times New Roman"/>
                <w:color w:val="000000"/>
                <w:sz w:val="28"/>
                <w:highlight w:val="none"/>
              </w:rPr>
              <w:t>18863837229</w:t>
            </w:r>
            <w:r>
              <w:rPr>
                <w:rFonts w:hint="eastAsia" w:ascii="Times New Roman" w:hAnsi="Times New Roman" w:eastAsia="仿宋_GB2312" w:cs="Times New Roman"/>
                <w:color w:val="000000"/>
                <w:sz w:val="28"/>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08" w:type="pct"/>
            <w:vAlign w:val="bottom"/>
          </w:tcPr>
          <w:p>
            <w:pPr>
              <w:widowControl/>
              <w:spacing w:after="0" w:line="360" w:lineRule="auto"/>
              <w:jc w:val="both"/>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z w:val="28"/>
                <w:highlight w:val="none"/>
              </w:rPr>
              <w:t>邮编</w:t>
            </w:r>
            <w:r>
              <w:rPr>
                <w:rFonts w:hint="default" w:ascii="Times New Roman" w:hAnsi="Times New Roman" w:eastAsia="仿宋_GB2312" w:cs="Times New Roman"/>
                <w:color w:val="auto"/>
                <w:sz w:val="28"/>
                <w:highlight w:val="none"/>
                <w:lang w:eastAsia="zh-CN"/>
              </w:rPr>
              <w:t>：</w:t>
            </w:r>
            <w:r>
              <w:rPr>
                <w:rFonts w:hint="default" w:ascii="Times New Roman" w:hAnsi="Times New Roman" w:eastAsia="仿宋_GB2312" w:cs="Times New Roman"/>
                <w:color w:val="auto"/>
                <w:sz w:val="28"/>
                <w:highlight w:val="none"/>
              </w:rPr>
              <w:t>26570</w:t>
            </w:r>
            <w:r>
              <w:rPr>
                <w:rFonts w:hint="default" w:ascii="Times New Roman" w:hAnsi="Times New Roman" w:eastAsia="仿宋_GB2312" w:cs="Times New Roman"/>
                <w:color w:val="auto"/>
                <w:sz w:val="28"/>
                <w:highlight w:val="none"/>
                <w:lang w:val="en-US" w:eastAsia="zh-CN"/>
              </w:rPr>
              <w:t>0</w:t>
            </w:r>
          </w:p>
        </w:tc>
        <w:tc>
          <w:tcPr>
            <w:tcW w:w="167" w:type="pct"/>
            <w:vAlign w:val="bottom"/>
          </w:tcPr>
          <w:p>
            <w:pPr>
              <w:widowControl/>
              <w:spacing w:after="0" w:line="360" w:lineRule="auto"/>
              <w:jc w:val="both"/>
              <w:rPr>
                <w:rFonts w:hint="default" w:ascii="Times New Roman" w:hAnsi="Times New Roman" w:eastAsia="仿宋_GB2312" w:cs="Times New Roman"/>
                <w:color w:val="auto"/>
                <w:sz w:val="28"/>
                <w:highlight w:val="none"/>
              </w:rPr>
            </w:pPr>
          </w:p>
        </w:tc>
        <w:tc>
          <w:tcPr>
            <w:tcW w:w="2423" w:type="pct"/>
            <w:vAlign w:val="bottom"/>
          </w:tcPr>
          <w:p>
            <w:pPr>
              <w:widowControl/>
              <w:spacing w:after="0" w:line="360" w:lineRule="auto"/>
              <w:jc w:val="both"/>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z w:val="28"/>
                <w:highlight w:val="none"/>
              </w:rPr>
              <w:t>邮编</w:t>
            </w:r>
            <w:r>
              <w:rPr>
                <w:rFonts w:hint="default" w:ascii="Times New Roman" w:hAnsi="Times New Roman" w:eastAsia="仿宋_GB2312" w:cs="Times New Roman"/>
                <w:color w:val="auto"/>
                <w:sz w:val="28"/>
                <w:highlight w:val="none"/>
                <w:lang w:eastAsia="zh-CN"/>
              </w:rPr>
              <w:t>：</w:t>
            </w:r>
            <w:r>
              <w:rPr>
                <w:rFonts w:hint="default" w:ascii="Times New Roman" w:hAnsi="Times New Roman" w:eastAsia="仿宋_GB2312" w:cs="Times New Roman"/>
                <w:color w:val="auto"/>
                <w:sz w:val="28"/>
                <w:highlight w:val="none"/>
              </w:rPr>
              <w:t>26570</w:t>
            </w:r>
            <w:r>
              <w:rPr>
                <w:rFonts w:hint="default" w:ascii="Times New Roman" w:hAnsi="Times New Roman" w:eastAsia="仿宋_GB2312" w:cs="Times New Roman"/>
                <w:color w:val="auto"/>
                <w:sz w:val="28"/>
                <w:highlight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08" w:type="pct"/>
            <w:vAlign w:val="bottom"/>
          </w:tcPr>
          <w:p>
            <w:pPr>
              <w:widowControl/>
              <w:spacing w:after="0" w:line="360" w:lineRule="auto"/>
              <w:jc w:val="both"/>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sz w:val="28"/>
                <w:highlight w:val="none"/>
              </w:rPr>
              <w:t>地址</w:t>
            </w:r>
            <w:r>
              <w:rPr>
                <w:rFonts w:hint="default" w:ascii="Times New Roman" w:hAnsi="Times New Roman" w:eastAsia="仿宋_GB2312" w:cs="Times New Roman"/>
                <w:color w:val="auto"/>
                <w:sz w:val="28"/>
                <w:highlight w:val="none"/>
                <w:lang w:eastAsia="zh-CN"/>
              </w:rPr>
              <w:t>：</w:t>
            </w:r>
            <w:r>
              <w:rPr>
                <w:rFonts w:hint="eastAsia" w:ascii="Times New Roman" w:hAnsi="Times New Roman" w:eastAsia="仿宋_GB2312" w:cs="Times New Roman"/>
                <w:color w:val="000000"/>
                <w:sz w:val="28"/>
                <w:highlight w:val="none"/>
              </w:rPr>
              <w:t>山东省烟台市龙口市</w:t>
            </w:r>
            <w:r>
              <w:rPr>
                <w:rFonts w:hint="eastAsia" w:ascii="Times New Roman" w:hAnsi="Times New Roman" w:eastAsia="仿宋_GB2312" w:cs="Times New Roman"/>
                <w:color w:val="auto"/>
                <w:sz w:val="28"/>
                <w:highlight w:val="none"/>
                <w:lang w:eastAsia="zh-CN"/>
              </w:rPr>
              <w:t>山东南山铝业股份有限公司现有厂区内</w:t>
            </w:r>
          </w:p>
        </w:tc>
        <w:tc>
          <w:tcPr>
            <w:tcW w:w="167" w:type="pct"/>
            <w:vAlign w:val="bottom"/>
          </w:tcPr>
          <w:p>
            <w:pPr>
              <w:widowControl/>
              <w:spacing w:after="0" w:line="360" w:lineRule="auto"/>
              <w:jc w:val="both"/>
              <w:rPr>
                <w:rFonts w:hint="default" w:ascii="Times New Roman" w:hAnsi="Times New Roman" w:eastAsia="仿宋_GB2312" w:cs="Times New Roman"/>
                <w:color w:val="auto"/>
                <w:sz w:val="28"/>
                <w:highlight w:val="none"/>
              </w:rPr>
            </w:pPr>
          </w:p>
        </w:tc>
        <w:tc>
          <w:tcPr>
            <w:tcW w:w="2423" w:type="pct"/>
            <w:vAlign w:val="bottom"/>
          </w:tcPr>
          <w:p>
            <w:pPr>
              <w:widowControl/>
              <w:spacing w:after="0" w:line="360" w:lineRule="auto"/>
              <w:jc w:val="both"/>
              <w:rPr>
                <w:rFonts w:hint="default" w:ascii="Times New Roman" w:hAnsi="Times New Roman" w:eastAsia="仿宋_GB2312" w:cs="Times New Roman"/>
                <w:color w:val="auto"/>
                <w:highlight w:val="none"/>
                <w:lang w:eastAsia="zh-CN"/>
              </w:rPr>
            </w:pPr>
            <w:r>
              <w:rPr>
                <w:rFonts w:ascii="Times New Roman" w:hAnsi="Times New Roman" w:eastAsia="仿宋_GB2312" w:cs="Times New Roman"/>
                <w:color w:val="000000"/>
                <w:sz w:val="28"/>
                <w:highlight w:val="none"/>
              </w:rPr>
              <w:t>地址:</w:t>
            </w:r>
            <w:r>
              <w:rPr>
                <w:rFonts w:hint="eastAsia" w:ascii="Times New Roman" w:hAnsi="Times New Roman" w:eastAsia="仿宋_GB2312" w:cs="Times New Roman"/>
                <w:color w:val="000000"/>
                <w:sz w:val="28"/>
                <w:highlight w:val="none"/>
              </w:rPr>
              <w:t>山东省烟台市龙口市新嘉街道龙泽华府四期48号楼113铺</w:t>
            </w:r>
          </w:p>
        </w:tc>
      </w:tr>
    </w:tbl>
    <w:p>
      <w:pPr>
        <w:spacing w:line="360" w:lineRule="auto"/>
        <w:rPr>
          <w:rFonts w:hint="default" w:ascii="Times New Roman" w:hAnsi="Times New Roman" w:eastAsia="仿宋_GB2312" w:cs="Times New Roman"/>
          <w:color w:val="auto"/>
          <w:sz w:val="28"/>
        </w:rPr>
      </w:pPr>
    </w:p>
    <w:p>
      <w:pPr>
        <w:rPr>
          <w:rFonts w:hint="eastAsia" w:ascii="Times New Roman" w:hAnsi="Times New Roman" w:eastAsia="微软雅黑" w:cs="Times New Roman"/>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cs="Times New Roman"/>
          <w:color w:val="auto"/>
          <w:lang w:val="en-US" w:eastAsia="zh-CN"/>
        </w:rPr>
        <w:t>·</w:t>
      </w:r>
    </w:p>
    <w:p>
      <w:pPr>
        <w:rPr>
          <w:rFonts w:hint="default" w:ascii="Times New Roman" w:hAnsi="Times New Roman" w:cs="Times New Roman"/>
          <w:color w:val="0000FF"/>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after="0"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表一</w:t>
      </w:r>
    </w:p>
    <w:tbl>
      <w:tblPr>
        <w:tblStyle w:val="23"/>
        <w:tblW w:w="88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2002"/>
        <w:gridCol w:w="1806"/>
        <w:gridCol w:w="1106"/>
        <w:gridCol w:w="758"/>
        <w:gridCol w:w="10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6696" w:type="dxa"/>
            <w:gridSpan w:val="5"/>
            <w:vAlign w:val="center"/>
          </w:tcPr>
          <w:p>
            <w:pPr>
              <w:spacing w:after="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木托盘、包装木箱生产线建设项目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建设单位名称</w:t>
            </w:r>
          </w:p>
        </w:tc>
        <w:tc>
          <w:tcPr>
            <w:tcW w:w="6696" w:type="dxa"/>
            <w:gridSpan w:val="5"/>
            <w:vAlign w:val="center"/>
          </w:tcPr>
          <w:p>
            <w:pPr>
              <w:spacing w:after="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山东南山铝业股份有限公司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建设项目性质</w:t>
            </w:r>
          </w:p>
        </w:tc>
        <w:tc>
          <w:tcPr>
            <w:tcW w:w="6696" w:type="dxa"/>
            <w:gridSpan w:val="5"/>
            <w:vAlign w:val="center"/>
          </w:tcPr>
          <w:p>
            <w:pPr>
              <w:spacing w:after="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 xml:space="preserve">新建√  改扩建  技改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6696" w:type="dxa"/>
            <w:gridSpan w:val="5"/>
            <w:vAlign w:val="center"/>
          </w:tcPr>
          <w:p>
            <w:pPr>
              <w:spacing w:after="0"/>
              <w:jc w:val="center"/>
              <w:rPr>
                <w:rFonts w:hint="default" w:ascii="Times New Roman" w:hAnsi="Times New Roman" w:eastAsia="宋体" w:cs="Times New Roman"/>
                <w:color w:val="auto"/>
                <w:sz w:val="44"/>
                <w:szCs w:val="44"/>
                <w:lang w:eastAsia="zh-CN"/>
              </w:rPr>
            </w:pPr>
            <w:r>
              <w:rPr>
                <w:rFonts w:hint="eastAsia" w:ascii="Times New Roman" w:hAnsi="Times New Roman" w:eastAsia="宋体" w:cs="Times New Roman"/>
                <w:color w:val="auto"/>
                <w:sz w:val="24"/>
                <w:szCs w:val="24"/>
                <w:lang w:eastAsia="zh-CN"/>
              </w:rPr>
              <w:t>山东省烟台市龙口市山东南山铝业股份有限公司现有厂区内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主要产品名称</w:t>
            </w:r>
          </w:p>
        </w:tc>
        <w:tc>
          <w:tcPr>
            <w:tcW w:w="6696" w:type="dxa"/>
            <w:gridSpan w:val="5"/>
            <w:vAlign w:val="center"/>
          </w:tcPr>
          <w:p>
            <w:pPr>
              <w:spacing w:after="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木托盘、包装木箱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设计生产能力</w:t>
            </w:r>
          </w:p>
        </w:tc>
        <w:tc>
          <w:tcPr>
            <w:tcW w:w="6696" w:type="dxa"/>
            <w:gridSpan w:val="5"/>
            <w:vAlign w:val="center"/>
          </w:tcPr>
          <w:p>
            <w:pPr>
              <w:spacing w:after="0"/>
              <w:jc w:val="center"/>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年产木托盘16万件、包装木箱14万件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实际生产能力</w:t>
            </w:r>
          </w:p>
        </w:tc>
        <w:tc>
          <w:tcPr>
            <w:tcW w:w="6696" w:type="dxa"/>
            <w:gridSpan w:val="5"/>
            <w:vAlign w:val="center"/>
          </w:tcPr>
          <w:p>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年产木托盘16万件、包装木箱14万件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建设项目环评时间</w:t>
            </w:r>
          </w:p>
        </w:tc>
        <w:tc>
          <w:tcPr>
            <w:tcW w:w="2002" w:type="dxa"/>
            <w:shd w:val="clear" w:color="auto" w:fill="auto"/>
            <w:vAlign w:val="center"/>
          </w:tcPr>
          <w:p>
            <w:pPr>
              <w:spacing w:after="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月</w:t>
            </w:r>
          </w:p>
        </w:tc>
        <w:tc>
          <w:tcPr>
            <w:tcW w:w="1806" w:type="dxa"/>
            <w:shd w:val="clear" w:color="auto" w:fill="auto"/>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开工建设时间</w:t>
            </w:r>
          </w:p>
        </w:tc>
        <w:tc>
          <w:tcPr>
            <w:tcW w:w="2888" w:type="dxa"/>
            <w:gridSpan w:val="3"/>
            <w:shd w:val="clear" w:color="auto" w:fill="auto"/>
            <w:vAlign w:val="center"/>
          </w:tcPr>
          <w:p>
            <w:pPr>
              <w:spacing w:after="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shd w:val="clear" w:color="auto" w:fill="auto"/>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调试时间</w:t>
            </w:r>
          </w:p>
        </w:tc>
        <w:tc>
          <w:tcPr>
            <w:tcW w:w="2002" w:type="dxa"/>
            <w:shd w:val="clear" w:color="auto" w:fill="auto"/>
            <w:vAlign w:val="center"/>
          </w:tcPr>
          <w:p>
            <w:pPr>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2022.</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10.20</w:t>
            </w:r>
          </w:p>
        </w:tc>
        <w:tc>
          <w:tcPr>
            <w:tcW w:w="1806" w:type="dxa"/>
            <w:shd w:val="clear" w:color="auto" w:fill="auto"/>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验收现场监测时间</w:t>
            </w:r>
          </w:p>
        </w:tc>
        <w:tc>
          <w:tcPr>
            <w:tcW w:w="2888" w:type="dxa"/>
            <w:gridSpan w:val="3"/>
            <w:shd w:val="clear" w:color="auto" w:fill="auto"/>
            <w:vAlign w:val="center"/>
          </w:tcPr>
          <w:p>
            <w:pPr>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2022.</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审批部门</w:t>
            </w:r>
          </w:p>
        </w:tc>
        <w:tc>
          <w:tcPr>
            <w:tcW w:w="2002" w:type="dxa"/>
            <w:vAlign w:val="center"/>
          </w:tcPr>
          <w:p>
            <w:pPr>
              <w:spacing w:after="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烟台市生态环境局龙口分局</w:t>
            </w:r>
          </w:p>
        </w:tc>
        <w:tc>
          <w:tcPr>
            <w:tcW w:w="1806"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编制单位</w:t>
            </w:r>
          </w:p>
        </w:tc>
        <w:tc>
          <w:tcPr>
            <w:tcW w:w="2888" w:type="dxa"/>
            <w:gridSpan w:val="3"/>
            <w:vAlign w:val="center"/>
          </w:tcPr>
          <w:p>
            <w:pPr>
              <w:spacing w:after="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烟台嘉隆技术咨询有限公司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环保设施设计单位</w:t>
            </w:r>
          </w:p>
        </w:tc>
        <w:tc>
          <w:tcPr>
            <w:tcW w:w="2002"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806"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环保设施施工单位</w:t>
            </w:r>
          </w:p>
        </w:tc>
        <w:tc>
          <w:tcPr>
            <w:tcW w:w="2888" w:type="dxa"/>
            <w:gridSpan w:val="3"/>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投资总概算</w:t>
            </w:r>
          </w:p>
        </w:tc>
        <w:tc>
          <w:tcPr>
            <w:tcW w:w="2002" w:type="dxa"/>
            <w:vAlign w:val="center"/>
          </w:tcPr>
          <w:p>
            <w:pPr>
              <w:spacing w:after="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720万元</w:t>
            </w:r>
          </w:p>
        </w:tc>
        <w:tc>
          <w:tcPr>
            <w:tcW w:w="1806"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tc>
        <w:tc>
          <w:tcPr>
            <w:tcW w:w="1106" w:type="dxa"/>
            <w:vAlign w:val="center"/>
          </w:tcPr>
          <w:p>
            <w:pPr>
              <w:spacing w:after="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60万元</w:t>
            </w:r>
          </w:p>
        </w:tc>
        <w:tc>
          <w:tcPr>
            <w:tcW w:w="758"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1024" w:type="dxa"/>
            <w:vAlign w:val="center"/>
          </w:tcPr>
          <w:p>
            <w:pPr>
              <w:spacing w:after="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实际总概算</w:t>
            </w:r>
          </w:p>
        </w:tc>
        <w:tc>
          <w:tcPr>
            <w:tcW w:w="2002" w:type="dxa"/>
            <w:vAlign w:val="center"/>
          </w:tcPr>
          <w:p>
            <w:pPr>
              <w:spacing w:after="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720万元</w:t>
            </w:r>
          </w:p>
        </w:tc>
        <w:tc>
          <w:tcPr>
            <w:tcW w:w="1806"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实际</w:t>
            </w:r>
            <w:r>
              <w:rPr>
                <w:rFonts w:hint="default" w:ascii="Times New Roman" w:hAnsi="Times New Roman" w:eastAsia="宋体" w:cs="Times New Roman"/>
                <w:color w:val="auto"/>
                <w:sz w:val="24"/>
                <w:szCs w:val="24"/>
              </w:rPr>
              <w:t>环保投资</w:t>
            </w:r>
          </w:p>
        </w:tc>
        <w:tc>
          <w:tcPr>
            <w:tcW w:w="1106" w:type="dxa"/>
            <w:vAlign w:val="center"/>
          </w:tcPr>
          <w:p>
            <w:pPr>
              <w:spacing w:after="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60万元</w:t>
            </w:r>
          </w:p>
        </w:tc>
        <w:tc>
          <w:tcPr>
            <w:tcW w:w="758"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1024" w:type="dxa"/>
            <w:vAlign w:val="center"/>
          </w:tcPr>
          <w:p>
            <w:pPr>
              <w:spacing w:after="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38" w:type="dxa"/>
            <w:vAlign w:val="center"/>
          </w:tcPr>
          <w:p>
            <w:pPr>
              <w:spacing w:after="0"/>
              <w:jc w:val="center"/>
              <w:rPr>
                <w:rFonts w:hint="default" w:ascii="Times New Roman" w:hAnsi="Times New Roman" w:eastAsia="宋体" w:cs="Times New Roman"/>
                <w:color w:val="0000FF"/>
                <w:sz w:val="24"/>
                <w:szCs w:val="24"/>
              </w:rPr>
            </w:pPr>
            <w:r>
              <w:rPr>
                <w:rFonts w:hint="default" w:ascii="Times New Roman" w:hAnsi="Times New Roman" w:eastAsia="宋体" w:cs="Times New Roman"/>
                <w:color w:val="auto"/>
                <w:sz w:val="24"/>
                <w:szCs w:val="24"/>
              </w:rPr>
              <w:t>验收监测依据</w:t>
            </w:r>
          </w:p>
        </w:tc>
        <w:tc>
          <w:tcPr>
            <w:tcW w:w="6696" w:type="dxa"/>
            <w:gridSpan w:val="5"/>
            <w:vAlign w:val="center"/>
          </w:tcPr>
          <w:p>
            <w:pPr>
              <w:pStyle w:val="36"/>
              <w:spacing w:line="520" w:lineRule="exact"/>
              <w:jc w:val="both"/>
              <w:rPr>
                <w:rFonts w:hint="default" w:ascii="Times New Roman" w:hAnsi="Times New Roman" w:eastAsia="宋体" w:cs="Times New Roman"/>
                <w:color w:val="auto"/>
              </w:rPr>
            </w:pPr>
            <w:r>
              <w:rPr>
                <w:rFonts w:hint="default" w:ascii="Times New Roman" w:hAnsi="Times New Roman" w:eastAsia="宋体" w:cs="Times New Roman"/>
                <w:color w:val="auto"/>
              </w:rPr>
              <w:t>1、《建设项目环境保护管理条例》，中华人民共和国国务院令第682号（2017.7）；</w:t>
            </w:r>
          </w:p>
          <w:p>
            <w:pPr>
              <w:pStyle w:val="36"/>
              <w:spacing w:line="520" w:lineRule="exact"/>
              <w:jc w:val="both"/>
              <w:rPr>
                <w:rFonts w:hint="default" w:ascii="Times New Roman" w:hAnsi="Times New Roman" w:eastAsia="宋体" w:cs="Times New Roman"/>
                <w:color w:val="auto"/>
              </w:rPr>
            </w:pPr>
            <w:r>
              <w:rPr>
                <w:rFonts w:hint="default" w:ascii="Times New Roman" w:hAnsi="Times New Roman" w:eastAsia="宋体" w:cs="Times New Roman"/>
                <w:color w:val="auto"/>
              </w:rPr>
              <w:t>2、生态环境部《建设项目竣工环境保护验收技术指南 污染影响类》（公告2018年第9号）；</w:t>
            </w:r>
          </w:p>
          <w:p>
            <w:pPr>
              <w:pStyle w:val="36"/>
              <w:spacing w:line="52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t>3、中华人民共和国环境保护部《关于发布&lt;建设项目竣工环境保护验收暂行办法&gt;的公告》，国环规环评〔2017〕4号（2017.11）；</w:t>
            </w:r>
          </w:p>
          <w:p>
            <w:pPr>
              <w:spacing w:after="0" w:line="520" w:lineRule="exac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山东南山铝业股份有限公司木托盘、包装木箱生产线建设项目</w:t>
            </w:r>
            <w:r>
              <w:rPr>
                <w:rFonts w:hint="default" w:ascii="Times New Roman" w:hAnsi="Times New Roman" w:eastAsia="宋体" w:cs="Times New Roman"/>
                <w:color w:val="auto"/>
                <w:sz w:val="24"/>
                <w:szCs w:val="24"/>
              </w:rPr>
              <w:t>》审批意见（龙环报告</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eastAsia="zh-CN"/>
              </w:rPr>
              <w:t>[20</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49</w:t>
            </w:r>
            <w:r>
              <w:rPr>
                <w:rFonts w:hint="default" w:ascii="Times New Roman" w:hAnsi="Times New Roman" w:eastAsia="宋体" w:cs="Times New Roman"/>
                <w:color w:val="auto"/>
                <w:sz w:val="24"/>
                <w:szCs w:val="24"/>
                <w:highlight w:val="none"/>
                <w:lang w:eastAsia="zh-CN"/>
              </w:rPr>
              <w:t>号</w:t>
            </w:r>
            <w:r>
              <w:rPr>
                <w:rFonts w:hint="default" w:ascii="Times New Roman" w:hAnsi="Times New Roman" w:eastAsia="宋体" w:cs="Times New Roman"/>
                <w:color w:val="auto"/>
                <w:sz w:val="24"/>
                <w:szCs w:val="24"/>
                <w:highlight w:val="none"/>
              </w:rPr>
              <w:t>）；</w:t>
            </w:r>
          </w:p>
          <w:p>
            <w:pPr>
              <w:pStyle w:val="36"/>
              <w:spacing w:line="560" w:lineRule="exact"/>
              <w:jc w:val="both"/>
              <w:rPr>
                <w:rFonts w:hint="eastAsia"/>
                <w:color w:val="auto"/>
                <w:highlight w:val="none"/>
                <w:lang w:val="en-US" w:eastAsia="zh-CN"/>
              </w:rPr>
            </w:pPr>
            <w:r>
              <w:rPr>
                <w:rFonts w:hint="eastAsia"/>
                <w:color w:val="auto"/>
                <w:highlight w:val="none"/>
                <w:lang w:val="en-US" w:eastAsia="zh-CN"/>
              </w:rPr>
              <w:t>5、</w:t>
            </w:r>
            <w:r>
              <w:rPr>
                <w:color w:val="auto"/>
                <w:highlight w:val="none"/>
              </w:rPr>
              <w:t>环境保护部办公厅文件环办</w:t>
            </w:r>
            <w:r>
              <w:rPr>
                <w:rFonts w:hint="eastAsia"/>
                <w:color w:val="auto"/>
                <w:highlight w:val="none"/>
                <w:lang w:eastAsia="zh-CN"/>
              </w:rPr>
              <w:t>环评函</w:t>
            </w:r>
            <w:r>
              <w:rPr>
                <w:color w:val="auto"/>
                <w:highlight w:val="none"/>
              </w:rPr>
              <w:t>[20</w:t>
            </w:r>
            <w:r>
              <w:rPr>
                <w:rFonts w:hint="eastAsia"/>
                <w:color w:val="auto"/>
                <w:highlight w:val="none"/>
                <w:lang w:val="en-US" w:eastAsia="zh-CN"/>
              </w:rPr>
              <w:t>20</w:t>
            </w:r>
            <w:r>
              <w:rPr>
                <w:color w:val="auto"/>
                <w:highlight w:val="none"/>
              </w:rPr>
              <w:t>]</w:t>
            </w:r>
            <w:r>
              <w:rPr>
                <w:rFonts w:hint="eastAsia"/>
                <w:color w:val="auto"/>
                <w:highlight w:val="none"/>
                <w:lang w:val="en-US" w:eastAsia="zh-CN"/>
              </w:rPr>
              <w:t>688</w:t>
            </w:r>
            <w:r>
              <w:rPr>
                <w:color w:val="auto"/>
                <w:highlight w:val="none"/>
              </w:rPr>
              <w:t>号</w:t>
            </w:r>
            <w:r>
              <w:rPr>
                <w:rFonts w:hint="default"/>
                <w:color w:val="auto"/>
                <w:highlight w:val="none"/>
              </w:rPr>
              <w:t>关于印发《污染影响类建设项目重大变动清单（试行）》的通知</w:t>
            </w:r>
            <w:r>
              <w:rPr>
                <w:color w:val="auto"/>
                <w:highlight w:val="none"/>
              </w:rPr>
              <w:t>；</w:t>
            </w:r>
          </w:p>
          <w:p>
            <w:pPr>
              <w:spacing w:after="0" w:line="52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w:t>
            </w:r>
            <w:r>
              <w:rPr>
                <w:rFonts w:hint="eastAsia" w:ascii="Times New Roman" w:hAnsi="Times New Roman" w:eastAsia="宋体" w:cs="Times New Roman"/>
                <w:sz w:val="24"/>
                <w:szCs w:val="24"/>
                <w:highlight w:val="none"/>
                <w:lang w:val="en-US" w:eastAsia="zh-CN"/>
              </w:rPr>
              <w:t>烟台嘉隆技术咨询有限公司</w:t>
            </w:r>
            <w:r>
              <w:rPr>
                <w:rFonts w:hint="default" w:ascii="Times New Roman" w:hAnsi="Times New Roman" w:eastAsia="宋体" w:cs="Times New Roman"/>
                <w:color w:val="auto"/>
                <w:sz w:val="24"/>
                <w:szCs w:val="24"/>
                <w:highlight w:val="none"/>
              </w:rPr>
              <w:t>关于委托</w:t>
            </w:r>
            <w:r>
              <w:rPr>
                <w:rFonts w:hint="eastAsia" w:ascii="Times New Roman" w:hAnsi="Times New Roman" w:eastAsia="宋体" w:cs="Times New Roman"/>
                <w:color w:val="auto"/>
                <w:sz w:val="24"/>
                <w:szCs w:val="24"/>
                <w:highlight w:val="none"/>
                <w:lang w:eastAsia="zh-CN"/>
              </w:rPr>
              <w:t>山东鼎立环境检测有限公司</w:t>
            </w:r>
            <w:r>
              <w:rPr>
                <w:rFonts w:hint="default" w:ascii="Times New Roman" w:hAnsi="Times New Roman" w:eastAsia="宋体" w:cs="Times New Roman"/>
                <w:color w:val="auto"/>
                <w:sz w:val="24"/>
                <w:szCs w:val="24"/>
                <w:highlight w:val="none"/>
              </w:rPr>
              <w:t>进行建设项目竣工环境保护验收监测的函；</w:t>
            </w:r>
          </w:p>
          <w:p>
            <w:pPr>
              <w:spacing w:after="0" w:line="520" w:lineRule="exact"/>
              <w:jc w:val="both"/>
              <w:rPr>
                <w:rFonts w:hint="default" w:ascii="Times New Roman" w:hAnsi="Times New Roman" w:eastAsia="宋体" w:cs="Times New Roman"/>
                <w:color w:val="0000FF"/>
                <w:sz w:val="24"/>
                <w:szCs w:val="24"/>
              </w:rPr>
            </w:pPr>
            <w:r>
              <w:rPr>
                <w:rFonts w:hint="default" w:ascii="Times New Roman" w:hAnsi="Times New Roman" w:eastAsia="宋体" w:cs="Times New Roman"/>
                <w:color w:val="auto"/>
                <w:sz w:val="24"/>
                <w:szCs w:val="24"/>
              </w:rPr>
              <w:t>7、</w:t>
            </w:r>
            <w:r>
              <w:rPr>
                <w:rFonts w:hint="eastAsia" w:ascii="Times New Roman" w:hAnsi="Times New Roman" w:eastAsia="宋体" w:cs="Times New Roman"/>
                <w:color w:val="auto"/>
                <w:sz w:val="24"/>
                <w:szCs w:val="24"/>
                <w:lang w:eastAsia="zh-CN"/>
              </w:rPr>
              <w:t>山东鼎立环境检测有限公司</w:t>
            </w:r>
            <w:r>
              <w:rPr>
                <w:rFonts w:hint="default" w:ascii="Times New Roman" w:hAnsi="Times New Roman" w:eastAsia="宋体" w:cs="Times New Roman"/>
                <w:color w:val="auto"/>
                <w:sz w:val="24"/>
                <w:szCs w:val="24"/>
              </w:rPr>
              <w:t>验收检测报告。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03" w:hRule="atLeast"/>
          <w:jc w:val="center"/>
        </w:trPr>
        <w:tc>
          <w:tcPr>
            <w:tcW w:w="2138" w:type="dxa"/>
            <w:vAlign w:val="center"/>
          </w:tcPr>
          <w:p>
            <w:pPr>
              <w:spacing w:after="0"/>
              <w:jc w:val="center"/>
              <w:rPr>
                <w:rFonts w:hint="default" w:ascii="Times New Roman" w:hAnsi="Times New Roman" w:eastAsia="宋体" w:cs="Times New Roman"/>
                <w:color w:val="0000FF"/>
                <w:sz w:val="24"/>
                <w:szCs w:val="24"/>
              </w:rPr>
            </w:pPr>
            <w:r>
              <w:rPr>
                <w:rFonts w:hint="default" w:ascii="Times New Roman" w:hAnsi="Times New Roman" w:eastAsia="宋体" w:cs="Times New Roman"/>
                <w:color w:val="auto"/>
                <w:sz w:val="24"/>
                <w:szCs w:val="24"/>
              </w:rPr>
              <w:t>验收监测评价标准、标号、级别、限值</w:t>
            </w:r>
          </w:p>
        </w:tc>
        <w:tc>
          <w:tcPr>
            <w:tcW w:w="6696" w:type="dxa"/>
            <w:gridSpan w:val="5"/>
          </w:tcPr>
          <w:p>
            <w:pPr>
              <w:keepNext w:val="0"/>
              <w:keepLines w:val="0"/>
              <w:pageBreakBefore w:val="0"/>
              <w:widowControl/>
              <w:numPr>
                <w:ilvl w:val="0"/>
                <w:numId w:val="0"/>
              </w:numPr>
              <w:kinsoku/>
              <w:wordWrap/>
              <w:overflowPunct/>
              <w:topLinePunct w:val="0"/>
              <w:autoSpaceDE/>
              <w:autoSpaceDN/>
              <w:bidi w:val="0"/>
              <w:spacing w:after="0" w:line="52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噪声：</w:t>
            </w:r>
          </w:p>
          <w:p>
            <w:pPr>
              <w:keepNext w:val="0"/>
              <w:keepLines w:val="0"/>
              <w:pageBreakBefore w:val="0"/>
              <w:widowControl/>
              <w:kinsoku/>
              <w:wordWrap/>
              <w:overflowPunct/>
              <w:topLinePunct w:val="0"/>
              <w:autoSpaceDE/>
              <w:autoSpaceDN/>
              <w:bidi w:val="0"/>
              <w:spacing w:after="0" w:line="52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厂界噪声执行《工业企业厂界环境噪声排放标准》（GB12348-2008）中的</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类标准（昼间：</w:t>
            </w:r>
            <w:r>
              <w:rPr>
                <w:rFonts w:hint="eastAsia" w:ascii="Times New Roman" w:hAnsi="Times New Roman" w:eastAsia="宋体" w:cs="Times New Roman"/>
                <w:color w:val="auto"/>
                <w:sz w:val="24"/>
                <w:szCs w:val="24"/>
                <w:lang w:val="en-US" w:eastAsia="zh-CN"/>
              </w:rPr>
              <w:t>60</w:t>
            </w:r>
            <w:r>
              <w:rPr>
                <w:rFonts w:hint="default" w:ascii="Times New Roman" w:hAnsi="Times New Roman" w:eastAsia="宋体" w:cs="Times New Roman"/>
                <w:color w:val="auto"/>
                <w:sz w:val="24"/>
                <w:szCs w:val="24"/>
              </w:rPr>
              <w:t>dB(A)，夜间：</w:t>
            </w:r>
            <w:r>
              <w:rPr>
                <w:rFonts w:hint="eastAsia"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rPr>
              <w:t>dB(A)）。</w:t>
            </w:r>
          </w:p>
          <w:p>
            <w:pPr>
              <w:keepNext w:val="0"/>
              <w:keepLines w:val="0"/>
              <w:pageBreakBefore w:val="0"/>
              <w:widowControl/>
              <w:numPr>
                <w:ilvl w:val="0"/>
                <w:numId w:val="0"/>
              </w:numPr>
              <w:kinsoku/>
              <w:wordWrap/>
              <w:overflowPunct/>
              <w:topLinePunct w:val="0"/>
              <w:autoSpaceDE/>
              <w:autoSpaceDN/>
              <w:bidi w:val="0"/>
              <w:spacing w:after="0" w:line="520" w:lineRule="exact"/>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废气：</w:t>
            </w:r>
          </w:p>
          <w:p>
            <w:pPr>
              <w:pStyle w:val="57"/>
              <w:framePr w:w="0" w:hRule="auto" w:hSpace="0" w:wrap="auto" w:vAnchor="margin" w:hAnchor="text" w:xAlign="left" w:yAlign="inline"/>
              <w:spacing w:before="0" w:line="520" w:lineRule="exact"/>
              <w:ind w:firstLine="480" w:firstLineChars="200"/>
              <w:jc w:val="both"/>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kern w:val="2"/>
                <w:sz w:val="24"/>
                <w:szCs w:val="24"/>
                <w:highlight w:val="none"/>
              </w:rPr>
              <w:t>颗粒物排放浓度执行</w:t>
            </w:r>
            <w:r>
              <w:rPr>
                <w:rFonts w:hint="default" w:ascii="Times New Roman" w:hAnsi="Times New Roman" w:eastAsia="宋体" w:cs="Times New Roman"/>
                <w:bCs/>
                <w:color w:val="auto"/>
                <w:sz w:val="24"/>
                <w:highlight w:val="none"/>
              </w:rPr>
              <w:t>《区域性大气污染物综合排放标准》（DB37/2376-2019）表1重点控制区排放浓度限值（颗粒物：10mg/m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），排放速率执行</w:t>
            </w:r>
            <w:r>
              <w:rPr>
                <w:rFonts w:hint="default" w:ascii="Times New Roman" w:hAnsi="Times New Roman" w:eastAsia="宋体" w:cs="Times New Roman"/>
                <w:color w:val="auto"/>
                <w:sz w:val="24"/>
                <w:highlight w:val="none"/>
              </w:rPr>
              <w:t>《大气污染物综合排放标准》（GB16297-1996）表2排放速率限值（15m，3.5kg/h）</w:t>
            </w:r>
            <w:r>
              <w:rPr>
                <w:rFonts w:hint="default"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rPr>
              <w:t>无组织颗粒物执行《大气污染物综合排放标准》（GB16297-1996）无组织排放监控浓度标准（颗粒物：1.0 mg/m</w:t>
            </w:r>
            <w:r>
              <w:rPr>
                <w:rFonts w:hint="default" w:ascii="Times New Roman" w:hAnsi="Times New Roman" w:eastAsia="宋体" w:cs="Times New Roman"/>
                <w:color w:val="auto"/>
                <w:kern w:val="2"/>
                <w:sz w:val="24"/>
                <w:szCs w:val="24"/>
                <w:highlight w:val="none"/>
                <w:vertAlign w:val="superscript"/>
              </w:rPr>
              <w:t>3</w:t>
            </w:r>
            <w:r>
              <w:rPr>
                <w:rFonts w:hint="default" w:ascii="Times New Roman" w:hAnsi="Times New Roman" w:eastAsia="宋体" w:cs="Times New Roman"/>
                <w:color w:val="auto"/>
                <w:kern w:val="2"/>
                <w:sz w:val="24"/>
                <w:szCs w:val="24"/>
                <w:highlight w:val="none"/>
              </w:rPr>
              <w:t>）。</w:t>
            </w:r>
          </w:p>
          <w:p>
            <w:pPr>
              <w:keepNext w:val="0"/>
              <w:keepLines w:val="0"/>
              <w:pageBreakBefore w:val="0"/>
              <w:widowControl/>
              <w:kinsoku/>
              <w:wordWrap/>
              <w:overflowPunct/>
              <w:topLinePunct w:val="0"/>
              <w:autoSpaceDE/>
              <w:autoSpaceDN/>
              <w:bidi w:val="0"/>
              <w:spacing w:after="0" w:line="520" w:lineRule="exact"/>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废水：</w:t>
            </w:r>
          </w:p>
          <w:p>
            <w:pPr>
              <w:keepNext w:val="0"/>
              <w:keepLines w:val="0"/>
              <w:pageBreakBefore w:val="0"/>
              <w:widowControl/>
              <w:kinsoku/>
              <w:wordWrap/>
              <w:overflowPunct/>
              <w:topLinePunct w:val="0"/>
              <w:autoSpaceDE/>
              <w:autoSpaceDN/>
              <w:bidi w:val="0"/>
              <w:spacing w:after="0" w:line="52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生活污水</w:t>
            </w:r>
            <w:r>
              <w:rPr>
                <w:rFonts w:hint="default" w:ascii="Times New Roman" w:hAnsi="Times New Roman" w:eastAsia="宋体" w:cs="Times New Roman"/>
                <w:color w:val="auto"/>
                <w:sz w:val="24"/>
                <w:szCs w:val="24"/>
                <w:highlight w:val="none"/>
              </w:rPr>
              <w:t>执行《污水排入城镇下水道水质标准》（GB/T 31962-2015）表1中B等级标准。</w:t>
            </w:r>
          </w:p>
          <w:p>
            <w:pPr>
              <w:keepNext w:val="0"/>
              <w:keepLines w:val="0"/>
              <w:pageBreakBefore w:val="0"/>
              <w:widowControl/>
              <w:kinsoku/>
              <w:wordWrap/>
              <w:overflowPunct/>
              <w:topLinePunct w:val="0"/>
              <w:autoSpaceDE/>
              <w:autoSpaceDN/>
              <w:bidi w:val="0"/>
              <w:spacing w:after="0" w:line="520" w:lineRule="exact"/>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、固废：</w:t>
            </w:r>
          </w:p>
          <w:p>
            <w:pPr>
              <w:keepNext w:val="0"/>
              <w:keepLines w:val="0"/>
              <w:pageBreakBefore w:val="0"/>
              <w:widowControl/>
              <w:kinsoku/>
              <w:wordWrap/>
              <w:overflowPunct/>
              <w:topLinePunct w:val="0"/>
              <w:autoSpaceDE/>
              <w:autoSpaceDN/>
              <w:bidi w:val="0"/>
              <w:spacing w:after="0" w:line="520" w:lineRule="exact"/>
              <w:ind w:firstLine="480" w:firstLineChars="200"/>
              <w:jc w:val="both"/>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auto"/>
                <w:sz w:val="24"/>
                <w:szCs w:val="24"/>
              </w:rPr>
              <w:t>一般固废贮存、处置场的建设按照</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"https://www.so.com/link?m=bfCS830gVnMzr+DGHfKrHQJ6AeKE3bnjS3YaupJWfZ7u9E3dlLxB7e7xh96yQgDrlJq19T0dc6y5olRs3Mhj5qIDiviCFtmW0YceQEuP9XkwLfz//KkLEddq8fYh/HfXol1MGUA==" \t "https://www.so.com/_blank"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《一般工业固体废物贮存和填埋污染控制标准》（GB 18599-2020）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危险废物执行《危险废物贮存污染控制标准》（GB18597-2001）及其修改单。</w:t>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r>
              <w:rPr>
                <w:rFonts w:hint="default" w:ascii="Times New Roman" w:hAnsi="Times New Roman" w:eastAsia="宋体" w:cs="Times New Roman"/>
                <w:color w:val="0000FF"/>
                <w:sz w:val="24"/>
                <w:szCs w:val="24"/>
              </w:rPr>
              <w:br w:type="textWrapping"/>
            </w:r>
          </w:p>
        </w:tc>
      </w:tr>
    </w:tbl>
    <w:p>
      <w:pPr>
        <w:pStyle w:val="2"/>
        <w:ind w:left="0" w:leftChars="0" w:firstLine="0" w:firstLineChars="0"/>
        <w:rPr>
          <w:rFonts w:hint="default" w:ascii="Times New Roman" w:hAnsi="Times New Roman" w:eastAsia="宋体" w:cs="Times New Roman"/>
          <w:color w:val="0000FF"/>
        </w:rPr>
      </w:pPr>
      <w:r>
        <w:rPr>
          <w:rFonts w:hint="default" w:ascii="Times New Roman" w:hAnsi="Times New Roman" w:eastAsia="宋体" w:cs="Times New Roman"/>
          <w:color w:val="0000FF"/>
          <w:sz w:val="24"/>
          <w:szCs w:val="24"/>
        </w:rPr>
        <w:br w:type="page"/>
      </w:r>
      <w:r>
        <w:rPr>
          <w:rFonts w:hint="default" w:ascii="Times New Roman" w:hAnsi="Times New Roman" w:eastAsia="宋体" w:cs="Times New Roman"/>
          <w:b/>
          <w:bCs/>
          <w:snapToGrid/>
          <w:color w:val="auto"/>
          <w:sz w:val="24"/>
          <w:szCs w:val="24"/>
        </w:rPr>
        <w:t>表二</w:t>
      </w:r>
    </w:p>
    <w:tbl>
      <w:tblPr>
        <w:tblStyle w:val="24"/>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8834" w:type="dxa"/>
          </w:tcPr>
          <w:p>
            <w:pPr>
              <w:widowControl/>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2.1工程建设内容</w:t>
            </w:r>
          </w:p>
          <w:p>
            <w:pPr>
              <w:widowControl/>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2.1.1地理位置</w:t>
            </w:r>
          </w:p>
          <w:p>
            <w:pPr>
              <w:widowControl w:val="0"/>
              <w:autoSpaceDE w:val="0"/>
              <w:autoSpaceDN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山东南山铝业股份有限公司木托盘、包装木箱生产线建设项目</w:t>
            </w:r>
            <w:r>
              <w:rPr>
                <w:rFonts w:hint="default" w:ascii="Times New Roman" w:hAnsi="Times New Roman" w:eastAsia="宋体" w:cs="Times New Roman"/>
                <w:color w:val="auto"/>
                <w:sz w:val="24"/>
                <w:szCs w:val="24"/>
              </w:rPr>
              <w:t>位于</w:t>
            </w:r>
            <w:r>
              <w:rPr>
                <w:rFonts w:hint="default" w:ascii="Times New Roman" w:hAnsi="Times New Roman" w:eastAsia="宋体" w:cs="Times New Roman"/>
                <w:color w:val="auto"/>
                <w:sz w:val="24"/>
                <w:szCs w:val="24"/>
                <w:lang w:eastAsia="zh-CN"/>
              </w:rPr>
              <w:t>山东省烟台市龙口市山东南山铝业股份有限公司现有厂区内</w:t>
            </w:r>
            <w:r>
              <w:rPr>
                <w:rFonts w:hint="default" w:ascii="Times New Roman" w:hAnsi="Times New Roman" w:eastAsia="宋体" w:cs="Times New Roman"/>
                <w:color w:val="auto"/>
                <w:sz w:val="24"/>
                <w:szCs w:val="24"/>
              </w:rPr>
              <w:t>。</w:t>
            </w:r>
            <w:r>
              <w:rPr>
                <w:rFonts w:hint="default" w:ascii="Times New Roman" w:hAnsi="Times New Roman" w:eastAsia="宋体" w:cs="Times New Roman"/>
                <w:b w:val="0"/>
                <w:bCs/>
                <w:color w:val="auto"/>
                <w:sz w:val="24"/>
                <w:highlight w:val="none"/>
              </w:rPr>
              <w:t>投资</w:t>
            </w:r>
            <w:r>
              <w:rPr>
                <w:rFonts w:hint="default" w:ascii="Times New Roman" w:hAnsi="Times New Roman" w:eastAsia="宋体" w:cs="Times New Roman"/>
                <w:b w:val="0"/>
                <w:bCs/>
                <w:color w:val="auto"/>
                <w:sz w:val="24"/>
                <w:highlight w:val="none"/>
                <w:lang w:val="en-US" w:eastAsia="zh-CN"/>
              </w:rPr>
              <w:t>720万元建设</w:t>
            </w:r>
            <w:r>
              <w:rPr>
                <w:rFonts w:hint="default" w:ascii="Times New Roman" w:hAnsi="Times New Roman" w:eastAsia="宋体" w:cs="Times New Roman"/>
                <w:color w:val="auto"/>
                <w:sz w:val="24"/>
                <w:szCs w:val="24"/>
                <w:lang w:eastAsia="zh-CN"/>
              </w:rPr>
              <w:t>木托盘、包装木箱生产线建设项目</w:t>
            </w:r>
            <w:r>
              <w:rPr>
                <w:rFonts w:hint="default" w:ascii="Times New Roman" w:hAnsi="Times New Roman" w:eastAsia="宋体" w:cs="Times New Roman"/>
                <w:bCs/>
                <w:color w:val="auto"/>
                <w:sz w:val="24"/>
                <w:szCs w:val="24"/>
                <w:highlight w:val="none"/>
                <w:lang w:val="en-US" w:eastAsia="zh-CN"/>
              </w:rPr>
              <w:t>。本项目年工作日300天，日工作8小时，员工定员120人。</w:t>
            </w:r>
            <w:r>
              <w:rPr>
                <w:rFonts w:hint="default" w:ascii="Times New Roman" w:hAnsi="Times New Roman" w:eastAsia="宋体" w:cs="Times New Roman"/>
                <w:color w:val="auto"/>
                <w:sz w:val="24"/>
                <w:szCs w:val="24"/>
              </w:rPr>
              <w:t>龙口市位于山东省的东部，胶东半岛的北侧，西部、北部濒临渤海，南与栖霞市和招远市毗邻，东与蓬莱市接壤，处于东经120º13´14"~ 120º44´46"、北纬37º27´30"~37º47´24"之间。龙口市东距烟台约86km，南距青岛约220km，北与天津及辽东半岛的大连市隔海相望，西北濒临渤海湾。龙口市陆路交通以汽车运输为主，市区道路与206国道相连，有石(白)黄(县)公路、牟(平)黄(县)公路通过。（详见附图1）。</w:t>
            </w:r>
          </w:p>
          <w:p>
            <w:pPr>
              <w:widowControl w:val="0"/>
              <w:autoSpaceDE w:val="0"/>
              <w:autoSpaceDN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项目为环境影响非敏感区。周边地下水和地表水环境良好。项目</w:t>
            </w:r>
            <w:r>
              <w:rPr>
                <w:rFonts w:hint="default" w:ascii="Times New Roman" w:hAnsi="Times New Roman" w:eastAsia="宋体" w:cs="Times New Roman"/>
                <w:color w:val="auto"/>
                <w:sz w:val="24"/>
                <w:szCs w:val="24"/>
                <w:lang w:eastAsia="zh-CN"/>
              </w:rPr>
              <w:t>厂界</w:t>
            </w:r>
            <w:r>
              <w:rPr>
                <w:rFonts w:hint="default" w:ascii="Times New Roman" w:hAnsi="Times New Roman" w:eastAsia="宋体" w:cs="Times New Roman"/>
                <w:color w:val="auto"/>
                <w:sz w:val="24"/>
                <w:szCs w:val="24"/>
                <w:lang w:val="en-US" w:eastAsia="zh-CN"/>
              </w:rPr>
              <w:t>500m范围内大气</w:t>
            </w:r>
            <w:r>
              <w:rPr>
                <w:rFonts w:hint="default" w:ascii="Times New Roman" w:hAnsi="Times New Roman" w:eastAsia="宋体" w:cs="Times New Roman"/>
                <w:color w:val="auto"/>
                <w:sz w:val="24"/>
                <w:szCs w:val="24"/>
              </w:rPr>
              <w:t>环境</w:t>
            </w:r>
            <w:r>
              <w:rPr>
                <w:rFonts w:hint="default" w:ascii="Times New Roman" w:hAnsi="Times New Roman" w:eastAsia="宋体" w:cs="Times New Roman"/>
                <w:color w:val="auto"/>
                <w:sz w:val="24"/>
                <w:szCs w:val="24"/>
                <w:lang w:eastAsia="zh-CN"/>
              </w:rPr>
              <w:t>保护</w:t>
            </w:r>
            <w:r>
              <w:rPr>
                <w:rFonts w:hint="default" w:ascii="Times New Roman" w:hAnsi="Times New Roman" w:eastAsia="宋体" w:cs="Times New Roman"/>
                <w:color w:val="auto"/>
                <w:sz w:val="24"/>
                <w:szCs w:val="24"/>
              </w:rPr>
              <w:t>目标见下表2-1。</w:t>
            </w:r>
          </w:p>
          <w:p>
            <w:pPr>
              <w:widowControl w:val="0"/>
              <w:autoSpaceDE w:val="0"/>
              <w:autoSpaceDN w:val="0"/>
              <w:spacing w:after="0" w:line="560" w:lineRule="exact"/>
              <w:ind w:firstLine="482"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表2-1  主要环境敏感目标</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002"/>
              <w:gridCol w:w="1012"/>
              <w:gridCol w:w="1434"/>
              <w:gridCol w:w="1169"/>
              <w:gridCol w:w="1184"/>
              <w:gridCol w:w="1124"/>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2" w:type="pct"/>
                  <w:vMerge w:val="restart"/>
                  <w:noWrap w:val="0"/>
                  <w:vAlign w:val="bottom"/>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170" w:type="pct"/>
                  <w:gridSpan w:val="2"/>
                  <w:noWrap w:val="0"/>
                  <w:vAlign w:val="bottom"/>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经纬度</w:t>
                  </w:r>
                </w:p>
              </w:tc>
              <w:tc>
                <w:tcPr>
                  <w:tcW w:w="833" w:type="pct"/>
                  <w:vMerge w:val="restart"/>
                  <w:noWrap w:val="0"/>
                  <w:vAlign w:val="bottom"/>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敏感目标</w:t>
                  </w:r>
                </w:p>
              </w:tc>
              <w:tc>
                <w:tcPr>
                  <w:tcW w:w="679" w:type="pct"/>
                  <w:vMerge w:val="restart"/>
                  <w:noWrap w:val="0"/>
                  <w:vAlign w:val="bottom"/>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保护内容</w:t>
                  </w:r>
                </w:p>
              </w:tc>
              <w:tc>
                <w:tcPr>
                  <w:tcW w:w="688" w:type="pct"/>
                  <w:vMerge w:val="restart"/>
                  <w:noWrap w:val="0"/>
                  <w:vAlign w:val="bottom"/>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环境功能区</w:t>
                  </w:r>
                </w:p>
              </w:tc>
              <w:tc>
                <w:tcPr>
                  <w:tcW w:w="653" w:type="pct"/>
                  <w:vMerge w:val="restart"/>
                  <w:noWrap w:val="0"/>
                  <w:vAlign w:val="bottom"/>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相对厂址方位</w:t>
                  </w:r>
                </w:p>
              </w:tc>
              <w:tc>
                <w:tcPr>
                  <w:tcW w:w="582" w:type="pct"/>
                  <w:vMerge w:val="restart"/>
                  <w:noWrap w:val="0"/>
                  <w:vAlign w:val="bottom"/>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2" w:type="pct"/>
                  <w:vMerge w:val="continue"/>
                  <w:noWrap w:val="0"/>
                  <w:vAlign w:val="bottom"/>
                </w:tcPr>
                <w:p>
                  <w:pPr>
                    <w:jc w:val="center"/>
                    <w:rPr>
                      <w:rFonts w:hint="default" w:ascii="Times New Roman" w:hAnsi="Times New Roman" w:eastAsia="宋体" w:cs="Times New Roman"/>
                      <w:sz w:val="21"/>
                      <w:szCs w:val="21"/>
                    </w:rPr>
                  </w:pPr>
                </w:p>
              </w:tc>
              <w:tc>
                <w:tcPr>
                  <w:tcW w:w="582" w:type="pct"/>
                  <w:noWrap w:val="0"/>
                  <w:vAlign w:val="bottom"/>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经度E</w:t>
                  </w:r>
                </w:p>
              </w:tc>
              <w:tc>
                <w:tcPr>
                  <w:tcW w:w="588" w:type="pct"/>
                  <w:noWrap w:val="0"/>
                  <w:vAlign w:val="bottom"/>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纬度N</w:t>
                  </w:r>
                </w:p>
              </w:tc>
              <w:tc>
                <w:tcPr>
                  <w:tcW w:w="833" w:type="pct"/>
                  <w:vMerge w:val="continue"/>
                  <w:noWrap w:val="0"/>
                  <w:vAlign w:val="bottom"/>
                </w:tcPr>
                <w:p>
                  <w:pPr>
                    <w:jc w:val="center"/>
                    <w:rPr>
                      <w:rFonts w:hint="default" w:ascii="Times New Roman" w:hAnsi="Times New Roman" w:eastAsia="宋体" w:cs="Times New Roman"/>
                      <w:sz w:val="21"/>
                      <w:szCs w:val="21"/>
                    </w:rPr>
                  </w:pPr>
                </w:p>
              </w:tc>
              <w:tc>
                <w:tcPr>
                  <w:tcW w:w="679" w:type="pct"/>
                  <w:vMerge w:val="continue"/>
                  <w:noWrap w:val="0"/>
                  <w:vAlign w:val="bottom"/>
                </w:tcPr>
                <w:p>
                  <w:pPr>
                    <w:jc w:val="center"/>
                    <w:rPr>
                      <w:rFonts w:hint="default" w:ascii="Times New Roman" w:hAnsi="Times New Roman" w:eastAsia="宋体" w:cs="Times New Roman"/>
                      <w:sz w:val="21"/>
                      <w:szCs w:val="21"/>
                    </w:rPr>
                  </w:pPr>
                </w:p>
              </w:tc>
              <w:tc>
                <w:tcPr>
                  <w:tcW w:w="688" w:type="pct"/>
                  <w:vMerge w:val="continue"/>
                  <w:noWrap w:val="0"/>
                  <w:vAlign w:val="bottom"/>
                </w:tcPr>
                <w:p>
                  <w:pPr>
                    <w:jc w:val="center"/>
                    <w:rPr>
                      <w:rFonts w:hint="default" w:ascii="Times New Roman" w:hAnsi="Times New Roman" w:eastAsia="宋体" w:cs="Times New Roman"/>
                      <w:sz w:val="21"/>
                      <w:szCs w:val="21"/>
                    </w:rPr>
                  </w:pPr>
                </w:p>
              </w:tc>
              <w:tc>
                <w:tcPr>
                  <w:tcW w:w="653" w:type="pct"/>
                  <w:vMerge w:val="continue"/>
                  <w:noWrap w:val="0"/>
                  <w:vAlign w:val="bottom"/>
                </w:tcPr>
                <w:p>
                  <w:pPr>
                    <w:jc w:val="center"/>
                    <w:rPr>
                      <w:rFonts w:hint="default" w:ascii="Times New Roman" w:hAnsi="Times New Roman" w:eastAsia="宋体" w:cs="Times New Roman"/>
                      <w:sz w:val="21"/>
                      <w:szCs w:val="21"/>
                    </w:rPr>
                  </w:pPr>
                </w:p>
              </w:tc>
              <w:tc>
                <w:tcPr>
                  <w:tcW w:w="582" w:type="pct"/>
                  <w:vMerge w:val="continue"/>
                  <w:noWrap w:val="0"/>
                  <w:vAlign w:val="bottom"/>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92" w:type="pct"/>
                  <w:noWrap w:val="0"/>
                  <w:vAlign w:val="bottom"/>
                </w:tcPr>
                <w:p>
                  <w:pPr>
                    <w:jc w:val="center"/>
                    <w:rPr>
                      <w:rFonts w:hint="default" w:ascii="Times New Roman" w:hAnsi="Times New Roman" w:eastAsia="宋体" w:cs="Times New Roman"/>
                      <w:sz w:val="21"/>
                      <w:szCs w:val="21"/>
                    </w:rPr>
                  </w:pP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82" w:type="pct"/>
                  <w:noWrap w:val="0"/>
                  <w:vAlign w:val="bottom"/>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120.</w:t>
                  </w:r>
                  <w:r>
                    <w:rPr>
                      <w:rFonts w:hint="default" w:ascii="Times New Roman" w:hAnsi="Times New Roman" w:eastAsia="宋体" w:cs="Times New Roman"/>
                      <w:sz w:val="21"/>
                      <w:szCs w:val="21"/>
                      <w:lang w:val="en-US" w:eastAsia="zh-CN"/>
                    </w:rPr>
                    <w:t>473</w:t>
                  </w:r>
                </w:p>
              </w:tc>
              <w:tc>
                <w:tcPr>
                  <w:tcW w:w="588" w:type="pct"/>
                  <w:noWrap w:val="0"/>
                  <w:vAlign w:val="bottom"/>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37.60</w:t>
                  </w:r>
                  <w:r>
                    <w:rPr>
                      <w:rFonts w:hint="default" w:ascii="Times New Roman" w:hAnsi="Times New Roman" w:eastAsia="宋体" w:cs="Times New Roman"/>
                      <w:sz w:val="21"/>
                      <w:szCs w:val="21"/>
                      <w:lang w:val="en-US" w:eastAsia="zh-CN"/>
                    </w:rPr>
                    <w:t>3</w:t>
                  </w:r>
                </w:p>
              </w:tc>
              <w:tc>
                <w:tcPr>
                  <w:tcW w:w="833" w:type="pct"/>
                  <w:noWrap w:val="0"/>
                  <w:vAlign w:val="bottom"/>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世纪花园</w:t>
                  </w:r>
                </w:p>
              </w:tc>
              <w:tc>
                <w:tcPr>
                  <w:tcW w:w="679" w:type="pct"/>
                  <w:noWrap w:val="0"/>
                  <w:vAlign w:val="bottom"/>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w:t>
                  </w:r>
                </w:p>
              </w:tc>
              <w:tc>
                <w:tcPr>
                  <w:tcW w:w="688" w:type="pct"/>
                  <w:noWrap w:val="0"/>
                  <w:vAlign w:val="bottom"/>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653" w:type="pct"/>
                  <w:noWrap w:val="0"/>
                  <w:vAlign w:val="bottom"/>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西</w:t>
                  </w:r>
                </w:p>
              </w:tc>
              <w:tc>
                <w:tcPr>
                  <w:tcW w:w="582" w:type="pct"/>
                  <w:noWrap w:val="0"/>
                  <w:vAlign w:val="bottom"/>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65</w:t>
                  </w:r>
                </w:p>
              </w:tc>
            </w:tr>
          </w:tbl>
          <w:p>
            <w:pPr>
              <w:pStyle w:val="36"/>
              <w:spacing w:line="560" w:lineRule="exact"/>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2.1.2 项目环评及批复情况</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2022年9月</w:t>
            </w:r>
            <w:r>
              <w:rPr>
                <w:rFonts w:hint="default" w:ascii="Times New Roman" w:hAnsi="Times New Roman" w:eastAsia="宋体" w:cs="Times New Roman"/>
                <w:color w:val="auto"/>
                <w:sz w:val="24"/>
                <w:szCs w:val="24"/>
                <w:lang w:eastAsia="zh-CN"/>
              </w:rPr>
              <w:t>山东南山铝业股份有限公司</w:t>
            </w:r>
            <w:r>
              <w:rPr>
                <w:rFonts w:hint="default" w:ascii="Times New Roman" w:hAnsi="Times New Roman" w:eastAsia="宋体" w:cs="Times New Roman"/>
                <w:color w:val="auto"/>
                <w:sz w:val="24"/>
                <w:szCs w:val="24"/>
              </w:rPr>
              <w:t>委托</w:t>
            </w:r>
            <w:r>
              <w:rPr>
                <w:rFonts w:hint="default" w:ascii="Times New Roman" w:hAnsi="Times New Roman" w:eastAsia="宋体" w:cs="Times New Roman"/>
                <w:color w:val="auto"/>
                <w:sz w:val="24"/>
                <w:szCs w:val="24"/>
                <w:lang w:eastAsia="zh-CN"/>
              </w:rPr>
              <w:t>烟台嘉隆技术咨询有限公司</w:t>
            </w:r>
            <w:r>
              <w:rPr>
                <w:rFonts w:hint="default" w:ascii="Times New Roman" w:hAnsi="Times New Roman" w:eastAsia="宋体" w:cs="Times New Roman"/>
                <w:color w:val="auto"/>
                <w:sz w:val="24"/>
                <w:szCs w:val="24"/>
              </w:rPr>
              <w:t>编制了</w:t>
            </w:r>
            <w:r>
              <w:rPr>
                <w:rFonts w:hint="default" w:ascii="Times New Roman" w:hAnsi="Times New Roman" w:eastAsia="宋体" w:cs="Times New Roman"/>
                <w:color w:val="auto"/>
                <w:sz w:val="24"/>
                <w:szCs w:val="24"/>
                <w:lang w:eastAsia="zh-CN"/>
              </w:rPr>
              <w:t>《山东南山铝业股份有限公司木托盘、包装木箱生产线建设项目</w:t>
            </w:r>
            <w:r>
              <w:rPr>
                <w:rFonts w:hint="default" w:ascii="Times New Roman" w:hAnsi="Times New Roman" w:eastAsia="宋体" w:cs="Times New Roman"/>
                <w:color w:val="auto"/>
                <w:sz w:val="24"/>
                <w:szCs w:val="24"/>
              </w:rPr>
              <w:t>环境影响报告表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；并于</w:t>
            </w:r>
            <w:r>
              <w:rPr>
                <w:rFonts w:hint="default"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lang w:eastAsia="zh-CN"/>
              </w:rPr>
              <w:t>日</w:t>
            </w:r>
            <w:r>
              <w:rPr>
                <w:rFonts w:hint="default" w:ascii="Times New Roman" w:hAnsi="Times New Roman" w:eastAsia="宋体" w:cs="Times New Roman"/>
                <w:color w:val="auto"/>
                <w:sz w:val="24"/>
                <w:szCs w:val="24"/>
              </w:rPr>
              <w:t>取得</w:t>
            </w:r>
            <w:r>
              <w:rPr>
                <w:rFonts w:hint="default" w:ascii="Times New Roman" w:hAnsi="Times New Roman" w:eastAsia="宋体" w:cs="Times New Roman"/>
                <w:color w:val="auto"/>
                <w:sz w:val="24"/>
                <w:szCs w:val="24"/>
                <w:lang w:eastAsia="zh-CN"/>
              </w:rPr>
              <w:t>烟台市生态环境局龙口分局</w:t>
            </w:r>
            <w:r>
              <w:rPr>
                <w:rFonts w:hint="default" w:ascii="Times New Roman" w:hAnsi="Times New Roman" w:eastAsia="宋体" w:cs="Times New Roman"/>
                <w:color w:val="auto"/>
                <w:sz w:val="24"/>
                <w:szCs w:val="24"/>
              </w:rPr>
              <w:t>出具的审批意见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龙环报告表</w:t>
            </w:r>
            <w:r>
              <w:rPr>
                <w:rFonts w:hint="default" w:ascii="Times New Roman" w:hAnsi="Times New Roman" w:eastAsia="宋体" w:cs="Times New Roman"/>
                <w:color w:val="auto"/>
                <w:sz w:val="24"/>
                <w:szCs w:val="24"/>
                <w:lang w:val="en-US" w:eastAsia="zh-CN"/>
              </w:rPr>
              <w:t>[2022]49号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烟台嘉隆技术咨询有限公司</w:t>
            </w:r>
            <w:r>
              <w:rPr>
                <w:rFonts w:hint="default" w:ascii="Times New Roman" w:hAnsi="Times New Roman" w:eastAsia="宋体" w:cs="Times New Roman"/>
                <w:color w:val="auto"/>
                <w:sz w:val="24"/>
                <w:szCs w:val="24"/>
                <w:highlight w:val="none"/>
              </w:rPr>
              <w:t>委托</w:t>
            </w:r>
            <w:r>
              <w:rPr>
                <w:rFonts w:hint="default" w:ascii="Times New Roman" w:hAnsi="Times New Roman" w:eastAsia="宋体" w:cs="Times New Roman"/>
                <w:color w:val="auto"/>
                <w:sz w:val="24"/>
                <w:szCs w:val="24"/>
                <w:highlight w:val="none"/>
                <w:lang w:eastAsia="zh-CN"/>
              </w:rPr>
              <w:t>山东鼎立环境检测有限公司</w:t>
            </w:r>
            <w:r>
              <w:rPr>
                <w:rFonts w:hint="default" w:ascii="Times New Roman" w:hAnsi="Times New Roman" w:eastAsia="宋体" w:cs="Times New Roman"/>
                <w:color w:val="auto"/>
                <w:sz w:val="24"/>
                <w:szCs w:val="24"/>
                <w:highlight w:val="none"/>
              </w:rPr>
              <w:t>于</w:t>
            </w:r>
            <w:r>
              <w:rPr>
                <w:rFonts w:hint="default" w:ascii="Times New Roman" w:hAnsi="Times New Roman" w:eastAsia="宋体" w:cs="Times New Roman"/>
                <w:color w:val="auto"/>
                <w:sz w:val="24"/>
                <w:szCs w:val="24"/>
                <w:highlight w:val="none"/>
                <w:lang w:eastAsia="zh-CN"/>
              </w:rPr>
              <w:t>2022年</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eastAsia="zh-CN"/>
              </w:rPr>
              <w:t>月</w:t>
            </w:r>
            <w:r>
              <w:rPr>
                <w:rFonts w:hint="default"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lang w:eastAsia="zh-CN"/>
              </w:rPr>
              <w:t>日-</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eastAsia="zh-CN"/>
              </w:rPr>
              <w:t>日</w:t>
            </w:r>
            <w:r>
              <w:rPr>
                <w:rFonts w:hint="default" w:ascii="Times New Roman" w:hAnsi="Times New Roman" w:eastAsia="宋体" w:cs="Times New Roman"/>
                <w:color w:val="auto"/>
                <w:sz w:val="24"/>
                <w:szCs w:val="24"/>
                <w:highlight w:val="none"/>
              </w:rPr>
              <w:t>对</w:t>
            </w:r>
            <w:r>
              <w:rPr>
                <w:rFonts w:hint="default" w:ascii="Times New Roman" w:hAnsi="Times New Roman" w:eastAsia="宋体" w:cs="Times New Roman"/>
                <w:color w:val="auto"/>
                <w:sz w:val="24"/>
                <w:szCs w:val="24"/>
              </w:rPr>
              <w:t>项目进行了现场监测。根据现场勘查、环境管理检查和现场监测结果，</w:t>
            </w:r>
            <w:r>
              <w:rPr>
                <w:rFonts w:hint="default" w:ascii="Times New Roman" w:hAnsi="Times New Roman" w:eastAsia="宋体" w:cs="Times New Roman"/>
                <w:color w:val="auto"/>
                <w:sz w:val="24"/>
                <w:szCs w:val="24"/>
                <w:lang w:val="en-US" w:eastAsia="zh-CN"/>
              </w:rPr>
              <w:t>烟台嘉隆技术咨询有限公司</w:t>
            </w:r>
            <w:r>
              <w:rPr>
                <w:rFonts w:hint="default" w:ascii="Times New Roman" w:hAnsi="Times New Roman" w:eastAsia="宋体" w:cs="Times New Roman"/>
                <w:color w:val="auto"/>
                <w:sz w:val="24"/>
                <w:szCs w:val="24"/>
              </w:rPr>
              <w:t>编</w:t>
            </w:r>
            <w:r>
              <w:rPr>
                <w:rFonts w:hint="default" w:ascii="Times New Roman" w:hAnsi="Times New Roman" w:eastAsia="宋体" w:cs="Times New Roman"/>
                <w:color w:val="auto"/>
                <w:sz w:val="24"/>
                <w:szCs w:val="24"/>
                <w:highlight w:val="none"/>
              </w:rPr>
              <w:t>制了建设项目竣工环境保护验收监测报告表。</w:t>
            </w:r>
          </w:p>
          <w:p>
            <w:pPr>
              <w:widowControl w:val="0"/>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2.1.3项目主要建设内容</w:t>
            </w:r>
          </w:p>
          <w:p>
            <w:pPr>
              <w:widowControl w:val="0"/>
              <w:spacing w:after="0" w:line="5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山东南山铝业股份有限公司</w:t>
            </w:r>
            <w:r>
              <w:rPr>
                <w:rFonts w:hint="default" w:ascii="Times New Roman" w:hAnsi="Times New Roman" w:eastAsia="宋体" w:cs="Times New Roman"/>
                <w:color w:val="auto"/>
                <w:sz w:val="24"/>
                <w:szCs w:val="24"/>
                <w:highlight w:val="none"/>
              </w:rPr>
              <w:t>主要引进</w:t>
            </w:r>
            <w:r>
              <w:rPr>
                <w:rFonts w:hint="default" w:ascii="Times New Roman" w:hAnsi="Times New Roman" w:eastAsia="宋体" w:cs="Times New Roman"/>
                <w:color w:val="auto"/>
                <w:sz w:val="24"/>
                <w:szCs w:val="24"/>
                <w:highlight w:val="none"/>
                <w:lang w:val="en-US" w:eastAsia="zh-CN"/>
              </w:rPr>
              <w:t>单跑车</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自动多片纵锯机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立式带锯机</w:t>
            </w:r>
            <w:r>
              <w:rPr>
                <w:rFonts w:hint="default" w:ascii="Times New Roman" w:hAnsi="Times New Roman" w:eastAsia="宋体" w:cs="Times New Roman"/>
                <w:color w:val="auto"/>
                <w:sz w:val="24"/>
                <w:szCs w:val="24"/>
                <w:highlight w:val="none"/>
              </w:rPr>
              <w:t>等设备</w:t>
            </w:r>
            <w:r>
              <w:rPr>
                <w:rFonts w:hint="default" w:ascii="Times New Roman" w:hAnsi="Times New Roman" w:eastAsia="宋体" w:cs="Times New Roman"/>
                <w:color w:val="auto"/>
                <w:sz w:val="24"/>
                <w:szCs w:val="24"/>
                <w:highlight w:val="none"/>
                <w:lang w:val="en-US" w:eastAsia="zh-CN"/>
              </w:rPr>
              <w:t>41</w:t>
            </w:r>
            <w:r>
              <w:rPr>
                <w:rFonts w:hint="default" w:ascii="Times New Roman" w:hAnsi="Times New Roman" w:eastAsia="宋体" w:cs="Times New Roman"/>
                <w:color w:val="auto"/>
                <w:sz w:val="24"/>
                <w:szCs w:val="24"/>
                <w:highlight w:val="none"/>
              </w:rPr>
              <w:t>台（套）。建设</w:t>
            </w:r>
            <w:r>
              <w:rPr>
                <w:rFonts w:hint="default" w:ascii="Times New Roman" w:hAnsi="Times New Roman" w:eastAsia="宋体" w:cs="Times New Roman"/>
                <w:color w:val="auto"/>
                <w:sz w:val="24"/>
                <w:szCs w:val="24"/>
                <w:highlight w:val="none"/>
                <w:lang w:eastAsia="zh-CN"/>
              </w:rPr>
              <w:t>木托盘、包装木箱生产线建设项目，</w:t>
            </w:r>
            <w:r>
              <w:rPr>
                <w:rFonts w:hint="default" w:ascii="Times New Roman" w:hAnsi="Times New Roman" w:eastAsia="宋体" w:cs="Times New Roman"/>
                <w:color w:val="auto"/>
                <w:sz w:val="24"/>
                <w:szCs w:val="24"/>
                <w:highlight w:val="none"/>
              </w:rPr>
              <w:t>本项目主要包括主体工程、辅助工程、公用工程、环保工程等。</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项目总投资为</w:t>
            </w:r>
            <w:r>
              <w:rPr>
                <w:rFonts w:hint="default" w:ascii="Times New Roman" w:hAnsi="Times New Roman" w:eastAsia="宋体" w:cs="Times New Roman"/>
                <w:b w:val="0"/>
                <w:bCs/>
                <w:color w:val="auto"/>
                <w:sz w:val="24"/>
                <w:highlight w:val="none"/>
                <w:lang w:val="en-US" w:eastAsia="zh-CN"/>
              </w:rPr>
              <w:t>720万元</w:t>
            </w:r>
            <w:r>
              <w:rPr>
                <w:rFonts w:hint="default" w:ascii="Times New Roman" w:hAnsi="Times New Roman" w:eastAsia="宋体" w:cs="Times New Roman"/>
                <w:color w:val="auto"/>
                <w:sz w:val="24"/>
                <w:szCs w:val="24"/>
              </w:rPr>
              <w:t>，环保投资</w:t>
            </w:r>
            <w:r>
              <w:rPr>
                <w:rFonts w:hint="default" w:ascii="Times New Roman" w:hAnsi="Times New Roman" w:eastAsia="宋体" w:cs="Times New Roman"/>
                <w:color w:val="auto"/>
                <w:sz w:val="24"/>
                <w:szCs w:val="24"/>
                <w:lang w:val="en-US" w:eastAsia="zh-CN"/>
              </w:rPr>
              <w:t>60万元</w:t>
            </w:r>
            <w:r>
              <w:rPr>
                <w:rFonts w:hint="default" w:ascii="Times New Roman" w:hAnsi="Times New Roman" w:eastAsia="宋体" w:cs="Times New Roman"/>
                <w:color w:val="auto"/>
                <w:sz w:val="24"/>
                <w:szCs w:val="24"/>
              </w:rPr>
              <w:t>。项目年平均工作</w:t>
            </w:r>
            <w:r>
              <w:rPr>
                <w:rFonts w:hint="default" w:ascii="Times New Roman" w:hAnsi="Times New Roman" w:eastAsia="宋体" w:cs="Times New Roman"/>
                <w:color w:val="auto"/>
                <w:sz w:val="24"/>
                <w:szCs w:val="24"/>
                <w:lang w:val="en-US" w:eastAsia="zh-CN"/>
              </w:rPr>
              <w:t>300</w:t>
            </w:r>
            <w:r>
              <w:rPr>
                <w:rFonts w:hint="default" w:ascii="Times New Roman" w:hAnsi="Times New Roman" w:eastAsia="宋体" w:cs="Times New Roman"/>
                <w:color w:val="auto"/>
                <w:sz w:val="24"/>
                <w:szCs w:val="24"/>
              </w:rPr>
              <w:t>天，一班制，每天运行8h，项目职工定员</w:t>
            </w:r>
            <w:r>
              <w:rPr>
                <w:rFonts w:hint="default" w:ascii="Times New Roman" w:hAnsi="Times New Roman" w:eastAsia="宋体" w:cs="Times New Roman"/>
                <w:color w:val="auto"/>
                <w:sz w:val="24"/>
                <w:szCs w:val="24"/>
                <w:lang w:val="en-US" w:eastAsia="zh-CN"/>
              </w:rPr>
              <w:t>120人</w:t>
            </w:r>
            <w:r>
              <w:rPr>
                <w:rFonts w:hint="default" w:ascii="Times New Roman" w:hAnsi="Times New Roman" w:eastAsia="宋体" w:cs="Times New Roman"/>
                <w:color w:val="auto"/>
                <w:sz w:val="24"/>
                <w:szCs w:val="24"/>
              </w:rPr>
              <w:t>。</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项目主要建设内容见表2-2。</w:t>
            </w:r>
          </w:p>
          <w:p>
            <w:pPr>
              <w:pStyle w:val="37"/>
              <w:widowControl w:val="0"/>
              <w:spacing w:line="560" w:lineRule="exact"/>
              <w:rPr>
                <w:rFonts w:hint="default" w:ascii="Times New Roman" w:hAnsi="Times New Roman" w:eastAsia="宋体" w:cs="Times New Roman"/>
                <w:color w:val="auto"/>
              </w:rPr>
            </w:pPr>
            <w:r>
              <w:rPr>
                <w:rFonts w:hint="default" w:ascii="Times New Roman" w:hAnsi="Times New Roman" w:eastAsia="宋体" w:cs="Times New Roman"/>
                <w:color w:val="auto"/>
              </w:rPr>
              <w:t>表2-2  项目工程一览表</w:t>
            </w:r>
          </w:p>
          <w:tbl>
            <w:tblPr>
              <w:tblStyle w:val="2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571"/>
              <w:gridCol w:w="3767"/>
              <w:gridCol w:w="37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gridSpan w:val="2"/>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项目名称</w:t>
                  </w:r>
                </w:p>
              </w:tc>
              <w:tc>
                <w:tcPr>
                  <w:tcW w:w="3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环评项目组成</w:t>
                  </w:r>
                </w:p>
              </w:tc>
              <w:tc>
                <w:tcPr>
                  <w:tcW w:w="37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实际建设内容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285" w:type="pct"/>
                  <w:vMerge w:val="restart"/>
                  <w:tcBorders>
                    <w:tl2br w:val="nil"/>
                    <w:tr2bl w:val="nil"/>
                  </w:tcBorders>
                  <w:noWrap w:val="0"/>
                  <w:vAlign w:val="center"/>
                </w:tcPr>
                <w:p>
                  <w:pPr>
                    <w:jc w:val="both"/>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主体工程</w:t>
                  </w:r>
                </w:p>
              </w:tc>
              <w:tc>
                <w:tcPr>
                  <w:tcW w:w="332" w:type="pct"/>
                  <w:tcBorders>
                    <w:tl2br w:val="nil"/>
                    <w:tr2bl w:val="nil"/>
                  </w:tcBorders>
                  <w:noWrap w:val="0"/>
                  <w:vAlign w:val="center"/>
                </w:tcPr>
                <w:p>
                  <w:pPr>
                    <w:pStyle w:val="62"/>
                    <w:jc w:val="center"/>
                    <w:rPr>
                      <w:rFonts w:hint="default" w:ascii="Times New Roman" w:hAnsi="Times New Roman" w:eastAsia="宋体" w:cs="Times New Roman"/>
                      <w:color w:val="000000"/>
                      <w:sz w:val="21"/>
                      <w:szCs w:val="22"/>
                      <w:vertAlign w:val="baseline"/>
                      <w:lang w:val="zh-CN" w:eastAsia="zh-CN" w:bidi="ar-SA"/>
                    </w:rPr>
                  </w:pPr>
                  <w:r>
                    <w:rPr>
                      <w:rFonts w:hint="default" w:ascii="Times New Roman" w:hAnsi="Times New Roman" w:eastAsia="宋体" w:cs="Times New Roman"/>
                      <w:color w:val="000000"/>
                      <w:sz w:val="21"/>
                      <w:szCs w:val="22"/>
                      <w:vertAlign w:val="baseline"/>
                      <w:lang w:val="en-US" w:eastAsia="zh-CN" w:bidi="ar-SA"/>
                    </w:rPr>
                    <w:t>带锯车间</w:t>
                  </w:r>
                </w:p>
              </w:tc>
              <w:tc>
                <w:tcPr>
                  <w:tcW w:w="2191" w:type="pct"/>
                  <w:tcBorders>
                    <w:tl2br w:val="nil"/>
                    <w:tr2bl w:val="nil"/>
                  </w:tcBorders>
                  <w:noWrap w:val="0"/>
                  <w:vAlign w:val="top"/>
                </w:tcPr>
                <w:p>
                  <w:pPr>
                    <w:pStyle w:val="62"/>
                    <w:spacing w:before="42" w:line="285" w:lineRule="auto"/>
                    <w:ind w:left="53" w:right="7" w:hanging="1"/>
                    <w:rPr>
                      <w:rFonts w:hint="default" w:ascii="Times New Roman" w:hAnsi="Times New Roman" w:eastAsia="宋体" w:cs="Times New Roman"/>
                      <w:color w:val="000000"/>
                      <w:sz w:val="21"/>
                      <w:szCs w:val="22"/>
                      <w:vertAlign w:val="baseline"/>
                      <w:lang w:val="zh-CN" w:eastAsia="zh-CN" w:bidi="ar-SA"/>
                    </w:rPr>
                  </w:pPr>
                  <w:r>
                    <w:rPr>
                      <w:rFonts w:hint="default" w:ascii="Times New Roman" w:hAnsi="Times New Roman" w:eastAsia="宋体" w:cs="Times New Roman"/>
                      <w:color w:val="000000"/>
                      <w:sz w:val="21"/>
                      <w:szCs w:val="22"/>
                      <w:vertAlign w:val="baseline"/>
                      <w:lang w:val="en-US" w:eastAsia="zh-CN" w:bidi="ar-SA"/>
                    </w:rPr>
                    <w:t>占地约1570m</w:t>
                  </w:r>
                  <w:r>
                    <w:rPr>
                      <w:rFonts w:hint="default" w:ascii="Times New Roman" w:hAnsi="Times New Roman" w:eastAsia="宋体" w:cs="Times New Roman"/>
                      <w:color w:val="000000"/>
                      <w:sz w:val="21"/>
                      <w:szCs w:val="22"/>
                      <w:vertAlign w:val="superscript"/>
                      <w:lang w:val="en-US" w:eastAsia="zh-CN" w:bidi="ar-SA"/>
                    </w:rPr>
                    <w:t>2</w:t>
                  </w:r>
                  <w:r>
                    <w:rPr>
                      <w:rFonts w:hint="default" w:ascii="Times New Roman" w:hAnsi="Times New Roman" w:eastAsia="宋体" w:cs="Times New Roman"/>
                      <w:color w:val="000000"/>
                      <w:sz w:val="21"/>
                      <w:szCs w:val="22"/>
                      <w:vertAlign w:val="baseline"/>
                      <w:lang w:val="en-US" w:eastAsia="zh-CN" w:bidi="ar-SA"/>
                    </w:rPr>
                    <w:t>，布置带锯机等设备，对进场的木材进行截断、下料以及根据需求计划进行相应的规格型号的定长、定宽、定厚等加工。</w:t>
                  </w:r>
                </w:p>
              </w:tc>
              <w:tc>
                <w:tcPr>
                  <w:tcW w:w="3734" w:type="dxa"/>
                  <w:tcBorders>
                    <w:tl2br w:val="nil"/>
                    <w:tr2bl w:val="nil"/>
                  </w:tcBorders>
                  <w:noWrap w:val="0"/>
                  <w:vAlign w:val="top"/>
                </w:tcPr>
                <w:p>
                  <w:pPr>
                    <w:pStyle w:val="62"/>
                    <w:spacing w:before="42" w:line="285" w:lineRule="auto"/>
                    <w:ind w:left="53" w:leftChars="0" w:right="7" w:rightChars="0" w:hanging="1" w:firstLineChars="0"/>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占地1570m</w:t>
                  </w:r>
                  <w:r>
                    <w:rPr>
                      <w:rFonts w:hint="default" w:ascii="Times New Roman" w:hAnsi="Times New Roman" w:eastAsia="宋体" w:cs="Times New Roman"/>
                      <w:color w:val="000000"/>
                      <w:sz w:val="21"/>
                      <w:szCs w:val="22"/>
                      <w:vertAlign w:val="superscript"/>
                      <w:lang w:val="en-US" w:eastAsia="zh-CN" w:bidi="ar-SA"/>
                    </w:rPr>
                    <w:t>2</w:t>
                  </w:r>
                  <w:r>
                    <w:rPr>
                      <w:rFonts w:hint="default" w:ascii="Times New Roman" w:hAnsi="Times New Roman" w:eastAsia="宋体" w:cs="Times New Roman"/>
                      <w:color w:val="000000"/>
                      <w:sz w:val="21"/>
                      <w:szCs w:val="22"/>
                      <w:vertAlign w:val="baseline"/>
                      <w:lang w:val="en-US" w:eastAsia="zh-CN" w:bidi="ar-SA"/>
                    </w:rPr>
                    <w:t>，布置带锯机等设备，对进场的木材进行截断、下料以及根据需求计划进行相应的规格型号的定长、定宽、定厚等加工。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5" w:type="pct"/>
                  <w:vMerge w:val="continue"/>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p>
              </w:tc>
              <w:tc>
                <w:tcPr>
                  <w:tcW w:w="332" w:type="pct"/>
                  <w:tcBorders>
                    <w:tl2br w:val="nil"/>
                    <w:tr2bl w:val="nil"/>
                  </w:tcBorders>
                  <w:noWrap w:val="0"/>
                  <w:vAlign w:val="center"/>
                </w:tcPr>
                <w:p>
                  <w:pPr>
                    <w:pStyle w:val="62"/>
                    <w:jc w:val="center"/>
                    <w:rPr>
                      <w:rFonts w:hint="default" w:ascii="Times New Roman" w:hAnsi="Times New Roman" w:eastAsia="宋体" w:cs="Times New Roman"/>
                      <w:color w:val="000000"/>
                      <w:sz w:val="21"/>
                      <w:szCs w:val="22"/>
                      <w:vertAlign w:val="baseline"/>
                      <w:lang w:val="zh-CN" w:eastAsia="zh-CN" w:bidi="ar-SA"/>
                    </w:rPr>
                  </w:pPr>
                  <w:r>
                    <w:rPr>
                      <w:rFonts w:hint="default" w:ascii="Times New Roman" w:hAnsi="Times New Roman" w:eastAsia="宋体" w:cs="Times New Roman"/>
                      <w:color w:val="000000"/>
                      <w:sz w:val="21"/>
                      <w:szCs w:val="22"/>
                      <w:vertAlign w:val="baseline"/>
                      <w:lang w:val="en-US" w:eastAsia="zh-CN" w:bidi="ar-SA"/>
                    </w:rPr>
                    <w:t>制作车间</w:t>
                  </w:r>
                </w:p>
              </w:tc>
              <w:tc>
                <w:tcPr>
                  <w:tcW w:w="2191" w:type="pct"/>
                  <w:tcBorders>
                    <w:tl2br w:val="nil"/>
                    <w:tr2bl w:val="nil"/>
                  </w:tcBorders>
                  <w:noWrap w:val="0"/>
                  <w:vAlign w:val="top"/>
                </w:tcPr>
                <w:p>
                  <w:pPr>
                    <w:pStyle w:val="62"/>
                    <w:spacing w:before="41"/>
                    <w:ind w:left="53" w:hanging="1"/>
                    <w:rPr>
                      <w:rFonts w:hint="default" w:ascii="Times New Roman" w:hAnsi="Times New Roman" w:eastAsia="宋体" w:cs="Times New Roman"/>
                      <w:color w:val="000000"/>
                      <w:sz w:val="21"/>
                      <w:szCs w:val="22"/>
                      <w:vertAlign w:val="baseline"/>
                      <w:lang w:val="zh-CN" w:eastAsia="zh-CN" w:bidi="ar-SA"/>
                    </w:rPr>
                  </w:pPr>
                  <w:r>
                    <w:rPr>
                      <w:rFonts w:hint="default" w:ascii="Times New Roman" w:hAnsi="Times New Roman" w:eastAsia="宋体" w:cs="Times New Roman"/>
                      <w:color w:val="000000"/>
                      <w:sz w:val="21"/>
                      <w:szCs w:val="22"/>
                      <w:vertAlign w:val="baseline"/>
                      <w:lang w:val="en-US" w:eastAsia="zh-CN" w:bidi="ar-SA"/>
                    </w:rPr>
                    <w:t>占地约4305m</w:t>
                  </w:r>
                  <w:r>
                    <w:rPr>
                      <w:rFonts w:hint="default" w:ascii="Times New Roman" w:hAnsi="Times New Roman" w:eastAsia="宋体" w:cs="Times New Roman"/>
                      <w:color w:val="000000"/>
                      <w:sz w:val="21"/>
                      <w:szCs w:val="22"/>
                      <w:vertAlign w:val="superscript"/>
                      <w:lang w:val="en-US" w:eastAsia="zh-CN" w:bidi="ar-SA"/>
                    </w:rPr>
                    <w:t>2</w:t>
                  </w:r>
                  <w:r>
                    <w:rPr>
                      <w:rFonts w:hint="default" w:ascii="Times New Roman" w:hAnsi="Times New Roman" w:eastAsia="宋体" w:cs="Times New Roman"/>
                      <w:color w:val="000000"/>
                      <w:sz w:val="21"/>
                      <w:szCs w:val="22"/>
                      <w:vertAlign w:val="baseline"/>
                      <w:lang w:val="en-US" w:eastAsia="zh-CN" w:bidi="ar-SA"/>
                    </w:rPr>
                    <w:t>，布置拉锯、刨床、镂铣机、多轴钻等设备，根据需求计划将来自带锯车间的初加工木材进行斜切、开孔、组装等深加工。</w:t>
                  </w:r>
                </w:p>
              </w:tc>
              <w:tc>
                <w:tcPr>
                  <w:tcW w:w="3734" w:type="dxa"/>
                  <w:tcBorders>
                    <w:tl2br w:val="nil"/>
                    <w:tr2bl w:val="nil"/>
                  </w:tcBorders>
                  <w:noWrap w:val="0"/>
                  <w:vAlign w:val="top"/>
                </w:tcPr>
                <w:p>
                  <w:pPr>
                    <w:pStyle w:val="62"/>
                    <w:spacing w:before="41"/>
                    <w:ind w:left="53" w:hanging="1"/>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占地4305m</w:t>
                  </w:r>
                  <w:r>
                    <w:rPr>
                      <w:rFonts w:hint="default" w:ascii="Times New Roman" w:hAnsi="Times New Roman" w:eastAsia="宋体" w:cs="Times New Roman"/>
                      <w:color w:val="000000"/>
                      <w:sz w:val="21"/>
                      <w:szCs w:val="22"/>
                      <w:vertAlign w:val="superscript"/>
                      <w:lang w:val="en-US" w:eastAsia="zh-CN" w:bidi="ar-SA"/>
                    </w:rPr>
                    <w:t>2</w:t>
                  </w:r>
                  <w:r>
                    <w:rPr>
                      <w:rFonts w:hint="default" w:ascii="Times New Roman" w:hAnsi="Times New Roman" w:eastAsia="宋体" w:cs="Times New Roman"/>
                      <w:color w:val="000000"/>
                      <w:sz w:val="21"/>
                      <w:szCs w:val="22"/>
                      <w:vertAlign w:val="baseline"/>
                      <w:lang w:val="en-US" w:eastAsia="zh-CN" w:bidi="ar-SA"/>
                    </w:rPr>
                    <w:t>，布置拉锯、刨床、镂铣机、多轴钻等设备，根据需求计划将来自带锯车间的初加工木材进行斜切、开孔、组装等深加工。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5" w:type="pct"/>
                  <w:vMerge w:val="continue"/>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p>
              </w:tc>
              <w:tc>
                <w:tcPr>
                  <w:tcW w:w="332" w:type="pct"/>
                  <w:tcBorders>
                    <w:tl2br w:val="nil"/>
                    <w:tr2bl w:val="nil"/>
                  </w:tcBorders>
                  <w:noWrap w:val="0"/>
                  <w:vAlign w:val="center"/>
                </w:tcPr>
                <w:p>
                  <w:pPr>
                    <w:pStyle w:val="62"/>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烘干室</w:t>
                  </w:r>
                </w:p>
              </w:tc>
              <w:tc>
                <w:tcPr>
                  <w:tcW w:w="2191" w:type="pct"/>
                  <w:tcBorders>
                    <w:tl2br w:val="nil"/>
                    <w:tr2bl w:val="nil"/>
                  </w:tcBorders>
                  <w:noWrap w:val="0"/>
                  <w:vAlign w:val="center"/>
                </w:tcPr>
                <w:p>
                  <w:pPr>
                    <w:pStyle w:val="62"/>
                    <w:spacing w:before="2" w:line="320" w:lineRule="atLeast"/>
                    <w:ind w:left="53" w:leftChars="0" w:right="133" w:rightChars="0"/>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7个，占地面积约10m</w:t>
                  </w:r>
                  <w:r>
                    <w:rPr>
                      <w:rFonts w:hint="default" w:ascii="Times New Roman" w:hAnsi="Times New Roman" w:eastAsia="宋体" w:cs="Times New Roman"/>
                      <w:color w:val="000000"/>
                      <w:sz w:val="21"/>
                      <w:szCs w:val="22"/>
                      <w:vertAlign w:val="superscript"/>
                      <w:lang w:val="en-US" w:eastAsia="zh-CN" w:bidi="ar-SA"/>
                    </w:rPr>
                    <w:t>2</w:t>
                  </w:r>
                </w:p>
              </w:tc>
              <w:tc>
                <w:tcPr>
                  <w:tcW w:w="3734" w:type="dxa"/>
                  <w:tcBorders>
                    <w:tl2br w:val="nil"/>
                    <w:tr2bl w:val="nil"/>
                  </w:tcBorders>
                  <w:noWrap w:val="0"/>
                  <w:vAlign w:val="center"/>
                </w:tcPr>
                <w:p>
                  <w:pPr>
                    <w:pStyle w:val="62"/>
                    <w:spacing w:before="2" w:line="320" w:lineRule="atLeast"/>
                    <w:ind w:left="53" w:leftChars="0" w:right="133" w:rightChars="0"/>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7个，占地面积10m</w:t>
                  </w:r>
                  <w:r>
                    <w:rPr>
                      <w:rFonts w:hint="default" w:ascii="Times New Roman" w:hAnsi="Times New Roman" w:eastAsia="宋体" w:cs="Times New Roman"/>
                      <w:color w:val="000000"/>
                      <w:sz w:val="21"/>
                      <w:szCs w:val="22"/>
                      <w:vertAlign w:val="superscript"/>
                      <w:lang w:val="en-US" w:eastAsia="zh-CN" w:bidi="ar-S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5"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辅助工程</w:t>
                  </w:r>
                </w:p>
              </w:tc>
              <w:tc>
                <w:tcPr>
                  <w:tcW w:w="332"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办公楼</w:t>
                  </w:r>
                </w:p>
              </w:tc>
              <w:tc>
                <w:tcPr>
                  <w:tcW w:w="2191"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3层，占地面积约320m</w:t>
                  </w:r>
                  <w:r>
                    <w:rPr>
                      <w:rFonts w:hint="default" w:ascii="Times New Roman" w:hAnsi="Times New Roman" w:eastAsia="宋体" w:cs="Times New Roman"/>
                      <w:color w:val="000000"/>
                      <w:sz w:val="21"/>
                      <w:szCs w:val="22"/>
                      <w:vertAlign w:val="superscript"/>
                      <w:lang w:val="en-US" w:eastAsia="zh-CN" w:bidi="ar-SA"/>
                    </w:rPr>
                    <w:t>2</w:t>
                  </w:r>
                </w:p>
              </w:tc>
              <w:tc>
                <w:tcPr>
                  <w:tcW w:w="3734" w:type="dxa"/>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3层，占地面积320m</w:t>
                  </w:r>
                  <w:r>
                    <w:rPr>
                      <w:rFonts w:hint="default" w:ascii="Times New Roman" w:hAnsi="Times New Roman" w:eastAsia="宋体" w:cs="Times New Roman"/>
                      <w:color w:val="000000"/>
                      <w:sz w:val="21"/>
                      <w:szCs w:val="22"/>
                      <w:vertAlign w:val="superscript"/>
                      <w:lang w:val="en-US" w:eastAsia="zh-CN" w:bidi="ar-S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5" w:type="pct"/>
                  <w:vMerge w:val="restar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储运工程</w:t>
                  </w:r>
                </w:p>
              </w:tc>
              <w:tc>
                <w:tcPr>
                  <w:tcW w:w="332" w:type="pct"/>
                  <w:tcBorders>
                    <w:tl2br w:val="nil"/>
                    <w:tr2bl w:val="nil"/>
                  </w:tcBorders>
                  <w:noWrap w:val="0"/>
                  <w:vAlign w:val="center"/>
                </w:tcPr>
                <w:p>
                  <w:pPr>
                    <w:pStyle w:val="62"/>
                    <w:spacing w:before="42" w:line="259" w:lineRule="exact"/>
                    <w:jc w:val="center"/>
                    <w:rPr>
                      <w:rFonts w:hint="default" w:ascii="Times New Roman" w:hAnsi="Times New Roman" w:eastAsia="宋体" w:cs="Times New Roman"/>
                      <w:color w:val="000000"/>
                      <w:sz w:val="21"/>
                      <w:szCs w:val="22"/>
                      <w:vertAlign w:val="baseline"/>
                      <w:lang w:val="zh-CN" w:eastAsia="zh-CN" w:bidi="ar-SA"/>
                    </w:rPr>
                  </w:pPr>
                  <w:r>
                    <w:rPr>
                      <w:rFonts w:hint="default" w:ascii="Times New Roman" w:hAnsi="Times New Roman" w:eastAsia="宋体" w:cs="Times New Roman"/>
                      <w:color w:val="000000"/>
                      <w:sz w:val="21"/>
                      <w:szCs w:val="22"/>
                      <w:vertAlign w:val="baseline"/>
                      <w:lang w:val="en-US" w:eastAsia="zh-CN" w:bidi="ar-SA"/>
                    </w:rPr>
                    <w:t>板料库</w:t>
                  </w:r>
                </w:p>
              </w:tc>
              <w:tc>
                <w:tcPr>
                  <w:tcW w:w="2191" w:type="pct"/>
                  <w:tcBorders>
                    <w:tl2br w:val="nil"/>
                    <w:tr2bl w:val="nil"/>
                  </w:tcBorders>
                  <w:noWrap w:val="0"/>
                  <w:vAlign w:val="center"/>
                </w:tcPr>
                <w:p>
                  <w:pPr>
                    <w:pStyle w:val="62"/>
                    <w:spacing w:before="42" w:line="259" w:lineRule="exact"/>
                    <w:ind w:left="53" w:leftChars="0"/>
                    <w:jc w:val="center"/>
                    <w:rPr>
                      <w:rFonts w:hint="default" w:ascii="Times New Roman" w:hAnsi="Times New Roman" w:eastAsia="宋体" w:cs="Times New Roman"/>
                      <w:color w:val="000000"/>
                      <w:sz w:val="21"/>
                      <w:szCs w:val="22"/>
                      <w:vertAlign w:val="baseline"/>
                      <w:lang w:val="zh-CN" w:eastAsia="zh-CN" w:bidi="ar-SA"/>
                    </w:rPr>
                  </w:pPr>
                  <w:r>
                    <w:rPr>
                      <w:rFonts w:hint="default" w:ascii="Times New Roman" w:hAnsi="Times New Roman" w:eastAsia="宋体" w:cs="Times New Roman"/>
                      <w:color w:val="000000"/>
                      <w:sz w:val="21"/>
                      <w:szCs w:val="22"/>
                      <w:vertAlign w:val="baseline"/>
                      <w:lang w:val="en-US" w:eastAsia="zh-CN" w:bidi="ar-SA"/>
                    </w:rPr>
                    <w:t>占地约616m</w:t>
                  </w:r>
                  <w:r>
                    <w:rPr>
                      <w:rFonts w:hint="eastAsia" w:ascii="Times New Roman" w:hAnsi="Times New Roman" w:cs="Times New Roman"/>
                      <w:color w:val="000000"/>
                      <w:sz w:val="21"/>
                      <w:szCs w:val="22"/>
                      <w:vertAlign w:val="superscript"/>
                      <w:lang w:val="en-US" w:eastAsia="zh-CN" w:bidi="ar-SA"/>
                    </w:rPr>
                    <w:t>2</w:t>
                  </w:r>
                  <w:r>
                    <w:rPr>
                      <w:rFonts w:hint="default" w:ascii="Times New Roman" w:hAnsi="Times New Roman" w:eastAsia="宋体" w:cs="Times New Roman"/>
                      <w:color w:val="000000"/>
                      <w:sz w:val="21"/>
                      <w:szCs w:val="22"/>
                      <w:vertAlign w:val="baseline"/>
                      <w:lang w:val="en-US" w:eastAsia="zh-CN" w:bidi="ar-SA"/>
                    </w:rPr>
                    <w:t>。用于储存木料、多层板。</w:t>
                  </w:r>
                </w:p>
              </w:tc>
              <w:tc>
                <w:tcPr>
                  <w:tcW w:w="3734" w:type="dxa"/>
                  <w:tcBorders>
                    <w:tl2br w:val="nil"/>
                    <w:tr2bl w:val="nil"/>
                  </w:tcBorders>
                  <w:noWrap w:val="0"/>
                  <w:vAlign w:val="center"/>
                </w:tcPr>
                <w:p>
                  <w:pPr>
                    <w:pStyle w:val="62"/>
                    <w:spacing w:before="42" w:line="259" w:lineRule="exact"/>
                    <w:ind w:left="53" w:leftChars="0"/>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占地616m</w:t>
                  </w:r>
                  <w:r>
                    <w:rPr>
                      <w:rFonts w:hint="default" w:ascii="Times New Roman" w:hAnsi="Times New Roman" w:eastAsia="宋体" w:cs="Times New Roman"/>
                      <w:color w:val="000000"/>
                      <w:sz w:val="21"/>
                      <w:szCs w:val="22"/>
                      <w:vertAlign w:val="superscript"/>
                      <w:lang w:val="en-US" w:eastAsia="zh-CN" w:bidi="ar-SA"/>
                    </w:rPr>
                    <w:t>2</w:t>
                  </w:r>
                  <w:r>
                    <w:rPr>
                      <w:rFonts w:hint="default" w:ascii="Times New Roman" w:hAnsi="Times New Roman" w:eastAsia="宋体" w:cs="Times New Roman"/>
                      <w:color w:val="000000"/>
                      <w:sz w:val="21"/>
                      <w:szCs w:val="22"/>
                      <w:vertAlign w:val="baseline"/>
                      <w:lang w:val="en-US" w:eastAsia="zh-CN" w:bidi="ar-SA"/>
                    </w:rPr>
                    <w:t>。用于储存木料、多层板。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5" w:type="pct"/>
                  <w:vMerge w:val="continue"/>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p>
              </w:tc>
              <w:tc>
                <w:tcPr>
                  <w:tcW w:w="332" w:type="pct"/>
                  <w:tcBorders>
                    <w:tl2br w:val="nil"/>
                    <w:tr2bl w:val="nil"/>
                  </w:tcBorders>
                  <w:noWrap w:val="0"/>
                  <w:vAlign w:val="center"/>
                </w:tcPr>
                <w:p>
                  <w:pPr>
                    <w:pStyle w:val="62"/>
                    <w:spacing w:before="42" w:line="257" w:lineRule="exact"/>
                    <w:ind w:left="56" w:leftChars="0"/>
                    <w:jc w:val="center"/>
                    <w:rPr>
                      <w:rFonts w:hint="default" w:ascii="Times New Roman" w:hAnsi="Times New Roman" w:eastAsia="宋体" w:cs="Times New Roman"/>
                      <w:color w:val="000000"/>
                      <w:sz w:val="21"/>
                      <w:szCs w:val="22"/>
                      <w:vertAlign w:val="baseline"/>
                      <w:lang w:val="zh-CN" w:eastAsia="zh-CN" w:bidi="ar-SA"/>
                    </w:rPr>
                  </w:pPr>
                  <w:r>
                    <w:rPr>
                      <w:rFonts w:hint="default" w:ascii="Times New Roman" w:hAnsi="Times New Roman" w:eastAsia="宋体" w:cs="Times New Roman"/>
                      <w:color w:val="000000"/>
                      <w:sz w:val="21"/>
                      <w:szCs w:val="22"/>
                      <w:vertAlign w:val="baseline"/>
                      <w:lang w:val="en-US" w:eastAsia="zh-CN" w:bidi="ar-SA"/>
                    </w:rPr>
                    <w:t>废料区</w:t>
                  </w:r>
                </w:p>
              </w:tc>
              <w:tc>
                <w:tcPr>
                  <w:tcW w:w="2191" w:type="pct"/>
                  <w:tcBorders>
                    <w:tl2br w:val="nil"/>
                    <w:tr2bl w:val="nil"/>
                  </w:tcBorders>
                  <w:noWrap w:val="0"/>
                  <w:vAlign w:val="center"/>
                </w:tcPr>
                <w:p>
                  <w:pPr>
                    <w:pStyle w:val="62"/>
                    <w:spacing w:before="42" w:line="257" w:lineRule="exact"/>
                    <w:ind w:left="53" w:leftChars="0"/>
                    <w:jc w:val="center"/>
                    <w:rPr>
                      <w:rFonts w:hint="default" w:ascii="Times New Roman" w:hAnsi="Times New Roman" w:eastAsia="宋体" w:cs="Times New Roman"/>
                      <w:color w:val="000000"/>
                      <w:sz w:val="21"/>
                      <w:szCs w:val="22"/>
                      <w:vertAlign w:val="baseline"/>
                      <w:lang w:val="zh-CN" w:eastAsia="zh-CN" w:bidi="ar-SA"/>
                    </w:rPr>
                  </w:pPr>
                  <w:r>
                    <w:rPr>
                      <w:rFonts w:hint="default" w:ascii="Times New Roman" w:hAnsi="Times New Roman" w:eastAsia="宋体" w:cs="Times New Roman"/>
                      <w:color w:val="000000"/>
                      <w:sz w:val="21"/>
                      <w:szCs w:val="22"/>
                      <w:vertAlign w:val="baseline"/>
                      <w:lang w:val="en-US" w:eastAsia="zh-CN" w:bidi="ar-SA"/>
                    </w:rPr>
                    <w:t>占地约400m</w:t>
                  </w:r>
                  <w:r>
                    <w:rPr>
                      <w:rFonts w:hint="default" w:ascii="Times New Roman" w:hAnsi="Times New Roman" w:eastAsia="宋体" w:cs="Times New Roman"/>
                      <w:color w:val="000000"/>
                      <w:sz w:val="21"/>
                      <w:szCs w:val="22"/>
                      <w:vertAlign w:val="superscript"/>
                      <w:lang w:val="en-US" w:eastAsia="zh-CN" w:bidi="ar-SA"/>
                    </w:rPr>
                    <w:t>2</w:t>
                  </w:r>
                  <w:r>
                    <w:rPr>
                      <w:rFonts w:hint="default" w:ascii="Times New Roman" w:hAnsi="Times New Roman" w:eastAsia="宋体" w:cs="Times New Roman"/>
                      <w:color w:val="000000"/>
                      <w:sz w:val="21"/>
                      <w:szCs w:val="22"/>
                      <w:vertAlign w:val="baseline"/>
                      <w:lang w:val="en-US" w:eastAsia="zh-CN" w:bidi="ar-SA"/>
                    </w:rPr>
                    <w:t>，用于暂存木材下料等。</w:t>
                  </w:r>
                </w:p>
              </w:tc>
              <w:tc>
                <w:tcPr>
                  <w:tcW w:w="3734" w:type="dxa"/>
                  <w:tcBorders>
                    <w:tl2br w:val="nil"/>
                    <w:tr2bl w:val="nil"/>
                  </w:tcBorders>
                  <w:noWrap w:val="0"/>
                  <w:vAlign w:val="center"/>
                </w:tcPr>
                <w:p>
                  <w:pPr>
                    <w:pStyle w:val="62"/>
                    <w:spacing w:before="42" w:line="257" w:lineRule="exact"/>
                    <w:ind w:left="53" w:leftChars="0"/>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占地400m</w:t>
                  </w:r>
                  <w:r>
                    <w:rPr>
                      <w:rFonts w:hint="default" w:ascii="Times New Roman" w:hAnsi="Times New Roman" w:eastAsia="宋体" w:cs="Times New Roman"/>
                      <w:color w:val="000000"/>
                      <w:sz w:val="21"/>
                      <w:szCs w:val="22"/>
                      <w:vertAlign w:val="superscript"/>
                      <w:lang w:val="en-US" w:eastAsia="zh-CN" w:bidi="ar-SA"/>
                    </w:rPr>
                    <w:t>2</w:t>
                  </w:r>
                  <w:r>
                    <w:rPr>
                      <w:rFonts w:hint="default" w:ascii="Times New Roman" w:hAnsi="Times New Roman" w:eastAsia="宋体" w:cs="Times New Roman"/>
                      <w:color w:val="000000"/>
                      <w:sz w:val="21"/>
                      <w:szCs w:val="22"/>
                      <w:vertAlign w:val="baseline"/>
                      <w:lang w:val="en-US" w:eastAsia="zh-CN" w:bidi="ar-SA"/>
                    </w:rPr>
                    <w:t>，用于暂存木材下料等。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5" w:type="pct"/>
                  <w:vMerge w:val="restar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公用工程</w:t>
                  </w:r>
                </w:p>
              </w:tc>
              <w:tc>
                <w:tcPr>
                  <w:tcW w:w="332"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供水</w:t>
                  </w:r>
                </w:p>
              </w:tc>
              <w:tc>
                <w:tcPr>
                  <w:tcW w:w="2191"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由蒸汽冷凝水供应</w:t>
                  </w:r>
                </w:p>
              </w:tc>
              <w:tc>
                <w:tcPr>
                  <w:tcW w:w="3734" w:type="dxa"/>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由蒸汽冷凝水供应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5" w:type="pct"/>
                  <w:vMerge w:val="continue"/>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p>
              </w:tc>
              <w:tc>
                <w:tcPr>
                  <w:tcW w:w="332"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供电</w:t>
                  </w:r>
                </w:p>
              </w:tc>
              <w:tc>
                <w:tcPr>
                  <w:tcW w:w="2191"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用电量40.4万kWh/a，由市政电网供应</w:t>
                  </w:r>
                </w:p>
              </w:tc>
              <w:tc>
                <w:tcPr>
                  <w:tcW w:w="3734" w:type="dxa"/>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用电量40.4万kWh/a，由市政电网供应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5" w:type="pct"/>
                  <w:vMerge w:val="continue"/>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p>
              </w:tc>
              <w:tc>
                <w:tcPr>
                  <w:tcW w:w="332"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供热</w:t>
                  </w:r>
                </w:p>
              </w:tc>
              <w:tc>
                <w:tcPr>
                  <w:tcW w:w="2191"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生产过程现采用山东怡力电业有限公司蒸汽烘干和冬季采暖，待山东南山铝业股份有限公司燃气蒸汽锅炉建设项目投入使用后，由山东南山铝业股份有限公司提供蒸汽。</w:t>
                  </w:r>
                </w:p>
              </w:tc>
              <w:tc>
                <w:tcPr>
                  <w:tcW w:w="3734" w:type="dxa"/>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山东南山铝业股份有限公司燃气蒸汽锅炉建设项目已投入使用，由山东南山铝业股份有限公司提供蒸汽。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5" w:type="pct"/>
                  <w:vMerge w:val="restar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环保工程</w:t>
                  </w:r>
                </w:p>
              </w:tc>
              <w:tc>
                <w:tcPr>
                  <w:tcW w:w="332"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废水</w:t>
                  </w:r>
                </w:p>
              </w:tc>
              <w:tc>
                <w:tcPr>
                  <w:tcW w:w="2191"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本项目无生产废水，生活污水排入化粪池处理后，经市政污水管网，排入世纪花园污水处理厂处理后最终排入泳汶河污水处理厂</w:t>
                  </w:r>
                </w:p>
              </w:tc>
              <w:tc>
                <w:tcPr>
                  <w:tcW w:w="3734" w:type="dxa"/>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本项目无生产废水，生活污水排入化粪池处理后，经市政污水管网，排入世纪花园污水处理厂处理后最终排入泳汶河污水处理厂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5" w:type="pct"/>
                  <w:vMerge w:val="continue"/>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p>
              </w:tc>
              <w:tc>
                <w:tcPr>
                  <w:tcW w:w="332"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废气</w:t>
                  </w:r>
                </w:p>
              </w:tc>
              <w:tc>
                <w:tcPr>
                  <w:tcW w:w="2191" w:type="pct"/>
                  <w:tcBorders>
                    <w:tl2br w:val="nil"/>
                    <w:tr2bl w:val="nil"/>
                  </w:tcBorders>
                  <w:noWrap w:val="0"/>
                  <w:vAlign w:val="center"/>
                </w:tcPr>
                <w:p>
                  <w:pPr>
                    <w:jc w:val="both"/>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带锯车间下料、锯切过程产生的颗粒物经布袋除尘器处理后通过15m高排气筒（DA001）排放；制作车间刨光、钻铣、开孔等过程产生的颗粒物经布袋除尘器处理后通过15m高排气筒（DA002）排放</w:t>
                  </w:r>
                </w:p>
              </w:tc>
              <w:tc>
                <w:tcPr>
                  <w:tcW w:w="3734" w:type="dxa"/>
                  <w:tcBorders>
                    <w:tl2br w:val="nil"/>
                    <w:tr2bl w:val="nil"/>
                  </w:tcBorders>
                  <w:noWrap w:val="0"/>
                  <w:vAlign w:val="center"/>
                </w:tcPr>
                <w:p>
                  <w:pPr>
                    <w:jc w:val="both"/>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带锯车间下料、锯切过程产生的颗粒物经布袋除尘器处理后通过15m高排气筒（DA001）排放；制作车间刨光、钻铣、开孔等过程产生的颗粒物经布袋除尘器处理后通过15m高排气筒（DA002）排放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5" w:type="pct"/>
                  <w:vMerge w:val="continue"/>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p>
              </w:tc>
              <w:tc>
                <w:tcPr>
                  <w:tcW w:w="332"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噪声</w:t>
                  </w:r>
                </w:p>
              </w:tc>
              <w:tc>
                <w:tcPr>
                  <w:tcW w:w="2191"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设备安装在隔声厂房内，基础减震，距离衰减</w:t>
                  </w:r>
                </w:p>
              </w:tc>
              <w:tc>
                <w:tcPr>
                  <w:tcW w:w="3734" w:type="dxa"/>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设备安装在隔声厂房内，基础减震，距离衰减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5" w:type="pct"/>
                  <w:vMerge w:val="continue"/>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p>
              </w:tc>
              <w:tc>
                <w:tcPr>
                  <w:tcW w:w="332"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固废</w:t>
                  </w:r>
                </w:p>
              </w:tc>
              <w:tc>
                <w:tcPr>
                  <w:tcW w:w="2191" w:type="pct"/>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废边角料、木屑、除尘器收尘、废钉收集暂存后外售至物资回收部门综合利用；生活垃圾收集后由环卫部门定期清运，废润滑油收集后暂存于危废暂存间，委托有资质单位处置</w:t>
                  </w:r>
                </w:p>
              </w:tc>
              <w:tc>
                <w:tcPr>
                  <w:tcW w:w="3734" w:type="dxa"/>
                  <w:tcBorders>
                    <w:tl2br w:val="nil"/>
                    <w:tr2bl w:val="nil"/>
                  </w:tcBorders>
                  <w:noWrap w:val="0"/>
                  <w:vAlign w:val="center"/>
                </w:tcPr>
                <w:p>
                  <w:pPr>
                    <w:jc w:val="center"/>
                    <w:rPr>
                      <w:rFonts w:hint="default" w:ascii="Times New Roman" w:hAnsi="Times New Roman" w:eastAsia="宋体" w:cs="Times New Roman"/>
                      <w:color w:val="000000"/>
                      <w:sz w:val="21"/>
                      <w:szCs w:val="22"/>
                      <w:vertAlign w:val="baseline"/>
                      <w:lang w:val="en-US" w:eastAsia="zh-CN" w:bidi="ar-SA"/>
                    </w:rPr>
                  </w:pPr>
                  <w:r>
                    <w:rPr>
                      <w:rFonts w:hint="default" w:ascii="Times New Roman" w:hAnsi="Times New Roman" w:eastAsia="宋体" w:cs="Times New Roman"/>
                      <w:color w:val="000000"/>
                      <w:sz w:val="21"/>
                      <w:szCs w:val="22"/>
                      <w:vertAlign w:val="baseline"/>
                      <w:lang w:val="en-US" w:eastAsia="zh-CN" w:bidi="ar-SA"/>
                    </w:rPr>
                    <w:t>废边角料、木屑、除尘器收尘、废钉收集暂存后外售至物资回收部门综合利用；生活垃圾收集后由环卫部门定期清运，</w:t>
                  </w:r>
                  <w:r>
                    <w:rPr>
                      <w:rFonts w:hint="eastAsia" w:ascii="Times New Roman" w:hAnsi="Times New Roman" w:eastAsia="宋体" w:cs="Times New Roman"/>
                      <w:color w:val="000000"/>
                      <w:sz w:val="21"/>
                      <w:szCs w:val="22"/>
                      <w:vertAlign w:val="baseline"/>
                      <w:lang w:val="en-US" w:eastAsia="zh-CN" w:bidi="ar-SA"/>
                    </w:rPr>
                    <w:t>本项目试运行阶段暂时未产生</w:t>
                  </w:r>
                  <w:r>
                    <w:rPr>
                      <w:rFonts w:hint="default" w:ascii="Times New Roman" w:hAnsi="Times New Roman" w:eastAsia="宋体" w:cs="Times New Roman"/>
                      <w:color w:val="000000"/>
                      <w:sz w:val="21"/>
                      <w:szCs w:val="22"/>
                      <w:vertAlign w:val="baseline"/>
                      <w:lang w:val="en-US" w:eastAsia="zh-CN" w:bidi="ar-SA"/>
                    </w:rPr>
                    <w:t>废润滑油</w:t>
                  </w:r>
                  <w:r>
                    <w:rPr>
                      <w:rFonts w:hint="eastAsia" w:ascii="Times New Roman" w:hAnsi="Times New Roman" w:eastAsia="宋体" w:cs="Times New Roman"/>
                      <w:color w:val="000000"/>
                      <w:sz w:val="21"/>
                      <w:szCs w:val="22"/>
                      <w:vertAlign w:val="baseline"/>
                      <w:lang w:val="en-US" w:eastAsia="zh-CN" w:bidi="ar-SA"/>
                    </w:rPr>
                    <w:t>，若今后运行过程产生，</w:t>
                  </w:r>
                  <w:r>
                    <w:rPr>
                      <w:rFonts w:hint="default" w:ascii="Times New Roman" w:hAnsi="Times New Roman" w:eastAsia="宋体" w:cs="Times New Roman"/>
                      <w:color w:val="000000"/>
                      <w:sz w:val="21"/>
                      <w:szCs w:val="22"/>
                      <w:vertAlign w:val="baseline"/>
                      <w:lang w:val="en-US" w:eastAsia="zh-CN" w:bidi="ar-SA"/>
                    </w:rPr>
                    <w:t>收集后暂存于危废暂存间，委托有资质单位处置</w:t>
                  </w:r>
                </w:p>
              </w:tc>
            </w:tr>
          </w:tbl>
          <w:p>
            <w:pPr>
              <w:keepNext w:val="0"/>
              <w:keepLines w:val="0"/>
              <w:pageBreakBefore w:val="0"/>
              <w:widowControl w:val="0"/>
              <w:kinsoku/>
              <w:wordWrap/>
              <w:overflowPunct/>
              <w:topLinePunct w:val="0"/>
              <w:bidi w:val="0"/>
              <w:adjustRightInd w:val="0"/>
              <w:snapToGrid/>
              <w:spacing w:after="0" w:line="520" w:lineRule="exact"/>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2.1.4项目平面布置</w:t>
            </w:r>
          </w:p>
          <w:p>
            <w:pPr>
              <w:keepNext w:val="0"/>
              <w:keepLines w:val="0"/>
              <w:pageBreakBefore w:val="0"/>
              <w:widowControl w:val="0"/>
              <w:tabs>
                <w:tab w:val="left" w:pos="3300"/>
              </w:tabs>
              <w:kinsoku/>
              <w:wordWrap/>
              <w:overflowPunct/>
              <w:topLinePunct w:val="0"/>
              <w:autoSpaceDE/>
              <w:autoSpaceDN/>
              <w:bidi w:val="0"/>
              <w:adjustRightInd w:val="0"/>
              <w:spacing w:after="0" w:line="52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w:t>
            </w:r>
            <w:r>
              <w:rPr>
                <w:rFonts w:hint="default" w:ascii="Times New Roman" w:hAnsi="Times New Roman" w:eastAsia="宋体" w:cs="Times New Roman"/>
                <w:color w:val="auto"/>
                <w:sz w:val="24"/>
                <w:szCs w:val="24"/>
                <w:highlight w:val="none"/>
                <w:lang w:eastAsia="zh-CN"/>
              </w:rPr>
              <w:t>新建</w:t>
            </w:r>
            <w:r>
              <w:rPr>
                <w:rFonts w:hint="default" w:ascii="Times New Roman" w:hAnsi="Times New Roman" w:eastAsia="宋体" w:cs="Times New Roman"/>
                <w:color w:val="auto"/>
                <w:sz w:val="24"/>
                <w:szCs w:val="24"/>
                <w:highlight w:val="none"/>
              </w:rPr>
              <w:t>利用企业现有厂房，不新增建筑面积，现有的厂区总平面布置符合国家的有关规定及要求，能满足生产运输、安全卫生、环境保护等方面的需要；充分考虑了企业在生产、交通运输、动力设施、设备维修等方面的协作关系，较好地遵循了节约用地的原则，做到了生产工艺流程顺畅，通道宽度适中，总图布置合理紧凑，协调统一。项目厂区平面图见附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p>
          <w:p>
            <w:pPr>
              <w:pStyle w:val="37"/>
              <w:widowControl w:val="0"/>
              <w:spacing w:line="560" w:lineRule="exact"/>
              <w:ind w:left="2650" w:hanging="2650" w:hangingChars="1100"/>
              <w:jc w:val="left"/>
              <w:rPr>
                <w:rFonts w:hint="default" w:ascii="Times New Roman" w:hAnsi="Times New Roman" w:eastAsia="宋体" w:cs="Times New Roman"/>
                <w:color w:val="auto"/>
              </w:rPr>
            </w:pPr>
            <w:r>
              <w:rPr>
                <w:rFonts w:hint="default" w:ascii="Times New Roman" w:hAnsi="Times New Roman" w:eastAsia="宋体" w:cs="Times New Roman"/>
                <w:color w:val="auto"/>
              </w:rPr>
              <w:t>2.1.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 xml:space="preserve"> 项目主要生产设备</w:t>
            </w:r>
          </w:p>
          <w:p>
            <w:pPr>
              <w:pStyle w:val="37"/>
              <w:widowControl w:val="0"/>
              <w:spacing w:line="560" w:lineRule="exact"/>
              <w:ind w:left="2650" w:hanging="2650" w:hangingChars="1100"/>
              <w:rPr>
                <w:rFonts w:hint="default" w:ascii="Times New Roman" w:hAnsi="Times New Roman" w:eastAsia="宋体" w:cs="Times New Roman"/>
                <w:color w:val="auto"/>
              </w:rPr>
            </w:pPr>
            <w:r>
              <w:rPr>
                <w:rFonts w:hint="default" w:ascii="Times New Roman" w:hAnsi="Times New Roman" w:eastAsia="宋体" w:cs="Times New Roman"/>
                <w:color w:val="auto"/>
              </w:rPr>
              <w:t>表2-4  项目主要生产设备一览表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2326"/>
              <w:gridCol w:w="1561"/>
              <w:gridCol w:w="880"/>
              <w:gridCol w:w="1275"/>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序号</w:t>
                  </w:r>
                </w:p>
              </w:tc>
              <w:tc>
                <w:tcPr>
                  <w:tcW w:w="2326"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设备名称</w:t>
                  </w:r>
                </w:p>
              </w:tc>
              <w:tc>
                <w:tcPr>
                  <w:tcW w:w="1561"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型号</w:t>
                  </w:r>
                </w:p>
              </w:tc>
              <w:tc>
                <w:tcPr>
                  <w:tcW w:w="880"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单位</w:t>
                  </w:r>
                </w:p>
              </w:tc>
              <w:tc>
                <w:tcPr>
                  <w:tcW w:w="127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环评数量</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一</w:t>
                  </w:r>
                </w:p>
              </w:tc>
              <w:tc>
                <w:tcPr>
                  <w:tcW w:w="6042" w:type="dxa"/>
                  <w:gridSpan w:val="4"/>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带锯车间</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1</w:t>
                  </w:r>
                </w:p>
              </w:tc>
              <w:tc>
                <w:tcPr>
                  <w:tcW w:w="2326"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单跑车</w:t>
                  </w:r>
                </w:p>
              </w:tc>
              <w:tc>
                <w:tcPr>
                  <w:tcW w:w="1561"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MJB3212B</w:t>
                  </w:r>
                </w:p>
              </w:tc>
              <w:tc>
                <w:tcPr>
                  <w:tcW w:w="880"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1</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2</w:t>
                  </w:r>
                </w:p>
              </w:tc>
              <w:tc>
                <w:tcPr>
                  <w:tcW w:w="2326"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自动多片纵锯机</w:t>
                  </w:r>
                </w:p>
              </w:tc>
              <w:tc>
                <w:tcPr>
                  <w:tcW w:w="1561"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MJ145F</w:t>
                  </w:r>
                </w:p>
              </w:tc>
              <w:tc>
                <w:tcPr>
                  <w:tcW w:w="880"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1</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3</w:t>
                  </w:r>
                </w:p>
              </w:tc>
              <w:tc>
                <w:tcPr>
                  <w:tcW w:w="2326"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立式带锯机</w:t>
                  </w:r>
                </w:p>
              </w:tc>
              <w:tc>
                <w:tcPr>
                  <w:tcW w:w="1561"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MJ3210</w:t>
                  </w:r>
                </w:p>
              </w:tc>
              <w:tc>
                <w:tcPr>
                  <w:tcW w:w="880" w:type="dxa"/>
                  <w:noWrap w:val="0"/>
                  <w:vAlign w:val="bottom"/>
                </w:tcPr>
                <w:p>
                  <w:pPr>
                    <w:widowControl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4</w:t>
                  </w:r>
                </w:p>
              </w:tc>
              <w:tc>
                <w:tcPr>
                  <w:tcW w:w="2326"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轮锯</w:t>
                  </w:r>
                </w:p>
              </w:tc>
              <w:tc>
                <w:tcPr>
                  <w:tcW w:w="1561"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自制</w:t>
                  </w:r>
                </w:p>
              </w:tc>
              <w:tc>
                <w:tcPr>
                  <w:tcW w:w="880"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2</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5</w:t>
                  </w:r>
                </w:p>
              </w:tc>
              <w:tc>
                <w:tcPr>
                  <w:tcW w:w="2326"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空气压缩机</w:t>
                  </w:r>
                </w:p>
              </w:tc>
              <w:tc>
                <w:tcPr>
                  <w:tcW w:w="1561"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W-1.8/1.0</w:t>
                  </w:r>
                </w:p>
              </w:tc>
              <w:tc>
                <w:tcPr>
                  <w:tcW w:w="880"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1</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二</w:t>
                  </w:r>
                </w:p>
              </w:tc>
              <w:tc>
                <w:tcPr>
                  <w:tcW w:w="6042" w:type="dxa"/>
                  <w:gridSpan w:val="4"/>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制作车间</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w:t>
                  </w:r>
                </w:p>
              </w:tc>
              <w:tc>
                <w:tcPr>
                  <w:tcW w:w="2326"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拉锯</w:t>
                  </w:r>
                </w:p>
              </w:tc>
              <w:tc>
                <w:tcPr>
                  <w:tcW w:w="1561"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MJ223-600</w:t>
                  </w:r>
                </w:p>
              </w:tc>
              <w:tc>
                <w:tcPr>
                  <w:tcW w:w="880"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11</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2</w:t>
                  </w:r>
                </w:p>
              </w:tc>
              <w:tc>
                <w:tcPr>
                  <w:tcW w:w="2326"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推台锯</w:t>
                  </w:r>
                </w:p>
              </w:tc>
              <w:tc>
                <w:tcPr>
                  <w:tcW w:w="1561"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MJ6132</w:t>
                  </w:r>
                </w:p>
              </w:tc>
              <w:tc>
                <w:tcPr>
                  <w:tcW w:w="880"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4</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3</w:t>
                  </w:r>
                </w:p>
              </w:tc>
              <w:tc>
                <w:tcPr>
                  <w:tcW w:w="2326"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单面木工压刨床</w:t>
                  </w:r>
                </w:p>
              </w:tc>
              <w:tc>
                <w:tcPr>
                  <w:tcW w:w="1561"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MBZ106D</w:t>
                  </w:r>
                </w:p>
              </w:tc>
              <w:tc>
                <w:tcPr>
                  <w:tcW w:w="880"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5</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4</w:t>
                  </w:r>
                </w:p>
              </w:tc>
              <w:tc>
                <w:tcPr>
                  <w:tcW w:w="2326"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木工新型气动镂铣机</w:t>
                  </w:r>
                </w:p>
              </w:tc>
              <w:tc>
                <w:tcPr>
                  <w:tcW w:w="1561"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MX5068</w:t>
                  </w:r>
                </w:p>
              </w:tc>
              <w:tc>
                <w:tcPr>
                  <w:tcW w:w="880"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2</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5</w:t>
                  </w:r>
                </w:p>
              </w:tc>
              <w:tc>
                <w:tcPr>
                  <w:tcW w:w="2326"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自动多片纵锯机</w:t>
                  </w:r>
                </w:p>
              </w:tc>
              <w:tc>
                <w:tcPr>
                  <w:tcW w:w="1561"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MJ145F</w:t>
                  </w:r>
                </w:p>
              </w:tc>
              <w:tc>
                <w:tcPr>
                  <w:tcW w:w="880"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1</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6</w:t>
                  </w:r>
                </w:p>
              </w:tc>
              <w:tc>
                <w:tcPr>
                  <w:tcW w:w="2326"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多轴钻</w:t>
                  </w:r>
                </w:p>
              </w:tc>
              <w:tc>
                <w:tcPr>
                  <w:tcW w:w="1561"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M24214</w:t>
                  </w:r>
                </w:p>
              </w:tc>
              <w:tc>
                <w:tcPr>
                  <w:tcW w:w="880"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1</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7</w:t>
                  </w:r>
                </w:p>
              </w:tc>
              <w:tc>
                <w:tcPr>
                  <w:tcW w:w="2326"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平刨</w:t>
                  </w:r>
                </w:p>
              </w:tc>
              <w:tc>
                <w:tcPr>
                  <w:tcW w:w="1561"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MB503A</w:t>
                  </w:r>
                </w:p>
              </w:tc>
              <w:tc>
                <w:tcPr>
                  <w:tcW w:w="880"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2</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8</w:t>
                  </w:r>
                </w:p>
              </w:tc>
              <w:tc>
                <w:tcPr>
                  <w:tcW w:w="2326"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全变角弯线机</w:t>
                  </w:r>
                </w:p>
              </w:tc>
              <w:tc>
                <w:tcPr>
                  <w:tcW w:w="1561"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MQX100</w:t>
                  </w:r>
                </w:p>
              </w:tc>
              <w:tc>
                <w:tcPr>
                  <w:tcW w:w="880"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1</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9</w:t>
                  </w:r>
                </w:p>
              </w:tc>
              <w:tc>
                <w:tcPr>
                  <w:tcW w:w="2326"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轮锯</w:t>
                  </w:r>
                </w:p>
              </w:tc>
              <w:tc>
                <w:tcPr>
                  <w:tcW w:w="1561"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自制</w:t>
                  </w:r>
                </w:p>
              </w:tc>
              <w:tc>
                <w:tcPr>
                  <w:tcW w:w="880"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4</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10</w:t>
                  </w:r>
                </w:p>
              </w:tc>
              <w:tc>
                <w:tcPr>
                  <w:tcW w:w="2326"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立轴刨</w:t>
                  </w:r>
                </w:p>
              </w:tc>
              <w:tc>
                <w:tcPr>
                  <w:tcW w:w="1561"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MB-500</w:t>
                  </w:r>
                </w:p>
              </w:tc>
              <w:tc>
                <w:tcPr>
                  <w:tcW w:w="880"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3</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82"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11</w:t>
                  </w:r>
                </w:p>
              </w:tc>
              <w:tc>
                <w:tcPr>
                  <w:tcW w:w="2326"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木工带锯机</w:t>
                  </w:r>
                </w:p>
              </w:tc>
              <w:tc>
                <w:tcPr>
                  <w:tcW w:w="1561"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MJ319</w:t>
                  </w:r>
                </w:p>
              </w:tc>
              <w:tc>
                <w:tcPr>
                  <w:tcW w:w="880"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台</w:t>
                  </w:r>
                </w:p>
              </w:tc>
              <w:tc>
                <w:tcPr>
                  <w:tcW w:w="1275" w:type="dxa"/>
                  <w:noWrap w:val="0"/>
                  <w:vAlign w:val="bottom"/>
                </w:tcPr>
                <w:p>
                  <w:pPr>
                    <w:widowControl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1</w:t>
                  </w:r>
                </w:p>
              </w:tc>
              <w:tc>
                <w:tcPr>
                  <w:tcW w:w="1295" w:type="dxa"/>
                  <w:noWrap w:val="0"/>
                  <w:vAlign w:val="bottom"/>
                </w:tcPr>
                <w:p>
                  <w:pPr>
                    <w:widowControl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w:t>
                  </w:r>
                </w:p>
              </w:tc>
            </w:tr>
          </w:tbl>
          <w:p>
            <w:pPr>
              <w:pStyle w:val="2"/>
              <w:widowControl w:val="0"/>
              <w:spacing w:after="0" w:line="360" w:lineRule="auto"/>
              <w:ind w:left="0" w:leftChars="0" w:firstLine="0" w:firstLineChars="0"/>
              <w:jc w:val="both"/>
              <w:rPr>
                <w:rFonts w:hint="default" w:ascii="Times New Roman" w:hAnsi="Times New Roman" w:eastAsia="宋体" w:cs="Times New Roman"/>
                <w:color w:val="0000F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widowControl w:val="0"/>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2.2原辅材料及能源消耗、水平衡</w:t>
            </w:r>
          </w:p>
          <w:p>
            <w:pPr>
              <w:pStyle w:val="36"/>
              <w:spacing w:line="560" w:lineRule="exact"/>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2.2.1 项目原辅材料及能源消耗</w:t>
            </w:r>
          </w:p>
          <w:p>
            <w:pPr>
              <w:pStyle w:val="37"/>
              <w:widowControl w:val="0"/>
              <w:spacing w:line="560" w:lineRule="exact"/>
              <w:rPr>
                <w:rFonts w:hint="default" w:ascii="Times New Roman" w:hAnsi="Times New Roman" w:eastAsia="宋体" w:cs="Times New Roman"/>
                <w:color w:val="auto"/>
              </w:rPr>
            </w:pPr>
            <w:r>
              <w:rPr>
                <w:rFonts w:hint="default" w:ascii="Times New Roman" w:hAnsi="Times New Roman" w:eastAsia="宋体" w:cs="Times New Roman"/>
                <w:color w:val="auto"/>
              </w:rPr>
              <w:t>表2-4 项目原辅料及能源消耗统计表</w:t>
            </w:r>
          </w:p>
          <w:tbl>
            <w:tblPr>
              <w:tblStyle w:val="23"/>
              <w:tblW w:w="851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65"/>
              <w:gridCol w:w="1600"/>
              <w:gridCol w:w="1297"/>
              <w:gridCol w:w="1224"/>
              <w:gridCol w:w="1224"/>
              <w:gridCol w:w="25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5"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序号</w:t>
                  </w:r>
                </w:p>
              </w:tc>
              <w:tc>
                <w:tcPr>
                  <w:tcW w:w="1600"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名称</w:t>
                  </w:r>
                </w:p>
              </w:tc>
              <w:tc>
                <w:tcPr>
                  <w:tcW w:w="1297"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环评年消耗量</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实际年消耗量</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单位</w:t>
                  </w:r>
                </w:p>
              </w:tc>
              <w:tc>
                <w:tcPr>
                  <w:tcW w:w="2509"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9" w:type="dxa"/>
                  <w:gridSpan w:val="6"/>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主要原辅材料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5"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w:t>
                  </w:r>
                </w:p>
              </w:tc>
              <w:tc>
                <w:tcPr>
                  <w:tcW w:w="1600"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原木</w:t>
                  </w:r>
                </w:p>
              </w:tc>
              <w:tc>
                <w:tcPr>
                  <w:tcW w:w="1297"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31800</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31800</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m</w:t>
                  </w:r>
                  <w:r>
                    <w:rPr>
                      <w:rFonts w:hint="default" w:ascii="Times New Roman" w:hAnsi="Times New Roman" w:eastAsia="宋体" w:cs="Times New Roman"/>
                      <w:color w:val="000000"/>
                      <w:szCs w:val="21"/>
                      <w:highlight w:val="none"/>
                      <w:vertAlign w:val="superscript"/>
                      <w:lang w:val="en-US" w:eastAsia="zh-CN"/>
                    </w:rPr>
                    <w:t>3</w:t>
                  </w:r>
                </w:p>
              </w:tc>
              <w:tc>
                <w:tcPr>
                  <w:tcW w:w="2509"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5"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2</w:t>
                  </w:r>
                </w:p>
              </w:tc>
              <w:tc>
                <w:tcPr>
                  <w:tcW w:w="1600"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多层板</w:t>
                  </w:r>
                </w:p>
              </w:tc>
              <w:tc>
                <w:tcPr>
                  <w:tcW w:w="1297"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10000</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10000</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m</w:t>
                  </w:r>
                  <w:r>
                    <w:rPr>
                      <w:rFonts w:hint="default" w:ascii="Times New Roman" w:hAnsi="Times New Roman" w:eastAsia="宋体" w:cs="Times New Roman"/>
                      <w:color w:val="000000"/>
                      <w:szCs w:val="21"/>
                      <w:highlight w:val="none"/>
                      <w:vertAlign w:val="superscript"/>
                      <w:lang w:val="en-US" w:eastAsia="zh-CN"/>
                    </w:rPr>
                    <w:t>3</w:t>
                  </w:r>
                </w:p>
              </w:tc>
              <w:tc>
                <w:tcPr>
                  <w:tcW w:w="2509"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5"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3</w:t>
                  </w:r>
                </w:p>
              </w:tc>
              <w:tc>
                <w:tcPr>
                  <w:tcW w:w="1600"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钉子</w:t>
                  </w:r>
                </w:p>
              </w:tc>
              <w:tc>
                <w:tcPr>
                  <w:tcW w:w="1297"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3435</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3435</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万个</w:t>
                  </w:r>
                </w:p>
              </w:tc>
              <w:tc>
                <w:tcPr>
                  <w:tcW w:w="2509"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9" w:type="dxa"/>
                  <w:gridSpan w:val="6"/>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能耗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5"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4</w:t>
                  </w:r>
                </w:p>
              </w:tc>
              <w:tc>
                <w:tcPr>
                  <w:tcW w:w="1600"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电</w:t>
                  </w:r>
                </w:p>
              </w:tc>
              <w:tc>
                <w:tcPr>
                  <w:tcW w:w="1297"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40.4</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40.4</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万kWh</w:t>
                  </w:r>
                </w:p>
              </w:tc>
              <w:tc>
                <w:tcPr>
                  <w:tcW w:w="2509"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由市政电网供应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5"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5</w:t>
                  </w:r>
                </w:p>
              </w:tc>
              <w:tc>
                <w:tcPr>
                  <w:tcW w:w="1600"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水</w:t>
                  </w:r>
                </w:p>
              </w:tc>
              <w:tc>
                <w:tcPr>
                  <w:tcW w:w="1297"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1080</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1080</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m</w:t>
                  </w:r>
                  <w:r>
                    <w:rPr>
                      <w:rFonts w:hint="default" w:ascii="Times New Roman" w:hAnsi="Times New Roman" w:eastAsia="宋体" w:cs="Times New Roman"/>
                      <w:color w:val="000000"/>
                      <w:szCs w:val="21"/>
                      <w:highlight w:val="none"/>
                      <w:vertAlign w:val="superscript"/>
                      <w:lang w:val="en-US" w:eastAsia="zh-CN"/>
                    </w:rPr>
                    <w:t>3</w:t>
                  </w:r>
                </w:p>
              </w:tc>
              <w:tc>
                <w:tcPr>
                  <w:tcW w:w="2509"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由蒸汽冷凝水供应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5"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6</w:t>
                  </w:r>
                </w:p>
              </w:tc>
              <w:tc>
                <w:tcPr>
                  <w:tcW w:w="1600"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蒸汽</w:t>
                  </w:r>
                </w:p>
              </w:tc>
              <w:tc>
                <w:tcPr>
                  <w:tcW w:w="1297"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6304</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6304</w:t>
                  </w:r>
                </w:p>
              </w:tc>
              <w:tc>
                <w:tcPr>
                  <w:tcW w:w="1224"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t/a</w:t>
                  </w:r>
                </w:p>
              </w:tc>
              <w:tc>
                <w:tcPr>
                  <w:tcW w:w="2509" w:type="dxa"/>
                  <w:noWrap w:val="0"/>
                  <w:vAlign w:val="bottom"/>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山东南山铝业股份有限公司燃气蒸汽锅炉建设项目已投入使用，由山东南山铝业股份有限公司提供蒸汽。</w:t>
                  </w:r>
                </w:p>
              </w:tc>
            </w:tr>
          </w:tbl>
          <w:p>
            <w:pPr>
              <w:pStyle w:val="36"/>
              <w:keepNext w:val="0"/>
              <w:keepLines w:val="0"/>
              <w:pageBreakBefore w:val="0"/>
              <w:kinsoku/>
              <w:wordWrap/>
              <w:overflowPunct/>
              <w:topLinePunct w:val="0"/>
              <w:bidi w:val="0"/>
              <w:adjustRightInd w:val="0"/>
              <w:spacing w:line="520" w:lineRule="exact"/>
              <w:ind w:leftChars="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rPr>
              <w:t xml:space="preserve">2.2.2 </w:t>
            </w:r>
            <w:r>
              <w:rPr>
                <w:rFonts w:hint="default" w:ascii="Times New Roman" w:hAnsi="Times New Roman" w:eastAsia="宋体" w:cs="Times New Roman"/>
                <w:b/>
                <w:bCs/>
                <w:color w:val="auto"/>
                <w:sz w:val="24"/>
                <w:szCs w:val="24"/>
              </w:rPr>
              <w:t>项目水源与水平衡</w:t>
            </w:r>
          </w:p>
          <w:p>
            <w:pPr>
              <w:pStyle w:val="58"/>
              <w:keepNext w:val="0"/>
              <w:keepLines w:val="0"/>
              <w:pageBreakBefore w:val="0"/>
              <w:widowControl w:val="0"/>
              <w:kinsoku/>
              <w:wordWrap/>
              <w:overflowPunct/>
              <w:topLinePunct w:val="0"/>
              <w:autoSpaceDE/>
              <w:autoSpaceDN/>
              <w:bidi w:val="0"/>
              <w:adjustRightInd w:val="0"/>
              <w:spacing w:after="0" w:line="520" w:lineRule="exact"/>
              <w:ind w:leftChars="0"/>
              <w:rPr>
                <w:rFonts w:hint="default" w:ascii="Times New Roman" w:hAnsi="Times New Roman" w:eastAsia="宋体" w:cs="Times New Roman"/>
                <w:b/>
                <w:bCs w:val="0"/>
                <w:color w:val="auto"/>
                <w:kern w:val="2"/>
                <w:sz w:val="24"/>
                <w:szCs w:val="24"/>
                <w:highlight w:val="none"/>
                <w:lang w:val="en-US" w:eastAsia="zh-CN" w:bidi="ar"/>
              </w:rPr>
            </w:pPr>
            <w:r>
              <w:rPr>
                <w:rFonts w:hint="default" w:ascii="Times New Roman" w:hAnsi="Times New Roman" w:eastAsia="宋体" w:cs="Times New Roman"/>
                <w:b/>
                <w:bCs w:val="0"/>
                <w:color w:val="auto"/>
                <w:kern w:val="2"/>
                <w:sz w:val="24"/>
                <w:szCs w:val="24"/>
                <w:highlight w:val="none"/>
                <w:lang w:val="en-US" w:eastAsia="zh-CN" w:bidi="ar"/>
              </w:rPr>
              <w:t>1、给水</w:t>
            </w:r>
          </w:p>
          <w:p>
            <w:pPr>
              <w:pStyle w:val="58"/>
              <w:keepNext w:val="0"/>
              <w:keepLines w:val="0"/>
              <w:pageBreakBefore w:val="0"/>
              <w:widowControl w:val="0"/>
              <w:kinsoku/>
              <w:wordWrap/>
              <w:overflowPunct/>
              <w:topLinePunct w:val="0"/>
              <w:autoSpaceDE/>
              <w:autoSpaceDN/>
              <w:bidi w:val="0"/>
              <w:adjustRightInd w:val="0"/>
              <w:spacing w:after="0" w:line="520" w:lineRule="exact"/>
              <w:ind w:leftChars="0"/>
              <w:rPr>
                <w:rFonts w:hint="default" w:ascii="Times New Roman" w:hAnsi="Times New Roman" w:eastAsia="宋体" w:cs="Times New Roman"/>
                <w:b w:val="0"/>
                <w:bCs/>
                <w:color w:val="auto"/>
                <w:kern w:val="2"/>
                <w:sz w:val="24"/>
                <w:szCs w:val="24"/>
                <w:highlight w:val="none"/>
                <w:lang w:val="en-US" w:eastAsia="zh-CN" w:bidi="ar"/>
              </w:rPr>
            </w:pPr>
            <w:r>
              <w:rPr>
                <w:rFonts w:hint="default" w:ascii="Times New Roman" w:hAnsi="Times New Roman" w:eastAsia="宋体" w:cs="Times New Roman"/>
                <w:b w:val="0"/>
                <w:bCs/>
                <w:color w:val="auto"/>
                <w:kern w:val="2"/>
                <w:sz w:val="24"/>
                <w:szCs w:val="24"/>
                <w:highlight w:val="none"/>
                <w:lang w:val="en-US" w:eastAsia="zh-CN" w:bidi="ar"/>
              </w:rPr>
              <w:t>本项目用水主要为生活用水、生产用水。生产用水包括锯头冷却用水、厂区洒水降尘用水、消防水池用水，均由蒸汽冷凝水提供。</w:t>
            </w:r>
          </w:p>
          <w:p>
            <w:pPr>
              <w:pStyle w:val="58"/>
              <w:keepNext w:val="0"/>
              <w:keepLines w:val="0"/>
              <w:pageBreakBefore w:val="0"/>
              <w:widowControl w:val="0"/>
              <w:kinsoku/>
              <w:wordWrap/>
              <w:overflowPunct/>
              <w:topLinePunct w:val="0"/>
              <w:autoSpaceDE/>
              <w:autoSpaceDN/>
              <w:bidi w:val="0"/>
              <w:adjustRightInd w:val="0"/>
              <w:spacing w:after="0" w:line="520" w:lineRule="exact"/>
              <w:ind w:leftChars="0"/>
              <w:rPr>
                <w:rFonts w:hint="default" w:ascii="Times New Roman" w:hAnsi="Times New Roman" w:eastAsia="宋体" w:cs="Times New Roman"/>
                <w:b w:val="0"/>
                <w:bCs/>
                <w:color w:val="auto"/>
                <w:kern w:val="2"/>
                <w:sz w:val="24"/>
                <w:szCs w:val="24"/>
                <w:highlight w:val="none"/>
                <w:lang w:val="en-US" w:eastAsia="zh-CN" w:bidi="ar"/>
              </w:rPr>
            </w:pPr>
            <w:r>
              <w:rPr>
                <w:rFonts w:hint="default" w:ascii="Times New Roman" w:hAnsi="Times New Roman" w:eastAsia="宋体" w:cs="Times New Roman"/>
                <w:b w:val="0"/>
                <w:bCs/>
                <w:color w:val="auto"/>
                <w:kern w:val="2"/>
                <w:sz w:val="24"/>
                <w:szCs w:val="24"/>
                <w:highlight w:val="none"/>
                <w:lang w:val="en-US" w:eastAsia="zh-CN" w:bidi="ar"/>
              </w:rPr>
              <w:t>①生活用水：本项目有员工120人，生活用水量为3.6m</w:t>
            </w:r>
            <w:r>
              <w:rPr>
                <w:rFonts w:hint="default" w:ascii="Times New Roman" w:hAnsi="Times New Roman" w:eastAsia="宋体" w:cs="Times New Roman"/>
                <w:b w:val="0"/>
                <w:bCs/>
                <w:color w:val="auto"/>
                <w:kern w:val="2"/>
                <w:sz w:val="24"/>
                <w:szCs w:val="24"/>
                <w:highlight w:val="none"/>
                <w:vertAlign w:val="superscript"/>
                <w:lang w:val="en-US" w:eastAsia="zh-CN" w:bidi="ar"/>
              </w:rPr>
              <w:t>3</w:t>
            </w:r>
            <w:r>
              <w:rPr>
                <w:rFonts w:hint="default" w:ascii="Times New Roman" w:hAnsi="Times New Roman" w:eastAsia="宋体" w:cs="Times New Roman"/>
                <w:b w:val="0"/>
                <w:bCs/>
                <w:color w:val="auto"/>
                <w:kern w:val="2"/>
                <w:sz w:val="24"/>
                <w:szCs w:val="24"/>
                <w:highlight w:val="none"/>
                <w:lang w:val="en-US" w:eastAsia="zh-CN" w:bidi="ar"/>
              </w:rPr>
              <w:t>/d，年工作300天，生活用水量1080m</w:t>
            </w:r>
            <w:r>
              <w:rPr>
                <w:rFonts w:hint="default" w:ascii="Times New Roman" w:hAnsi="Times New Roman" w:eastAsia="宋体" w:cs="Times New Roman"/>
                <w:b w:val="0"/>
                <w:bCs/>
                <w:color w:val="auto"/>
                <w:kern w:val="2"/>
                <w:sz w:val="24"/>
                <w:szCs w:val="24"/>
                <w:highlight w:val="none"/>
                <w:vertAlign w:val="subscript"/>
                <w:lang w:val="en-US" w:eastAsia="zh-CN" w:bidi="ar"/>
              </w:rPr>
              <w:t>3</w:t>
            </w:r>
            <w:r>
              <w:rPr>
                <w:rFonts w:hint="default" w:ascii="Times New Roman" w:hAnsi="Times New Roman" w:eastAsia="宋体" w:cs="Times New Roman"/>
                <w:b w:val="0"/>
                <w:bCs/>
                <w:color w:val="auto"/>
                <w:kern w:val="2"/>
                <w:sz w:val="24"/>
                <w:szCs w:val="24"/>
                <w:highlight w:val="none"/>
                <w:lang w:val="en-US" w:eastAsia="zh-CN" w:bidi="ar"/>
              </w:rPr>
              <w:t>/a，由蒸汽冷凝水提供。</w:t>
            </w:r>
          </w:p>
          <w:p>
            <w:pPr>
              <w:pStyle w:val="58"/>
              <w:keepNext w:val="0"/>
              <w:keepLines w:val="0"/>
              <w:pageBreakBefore w:val="0"/>
              <w:widowControl w:val="0"/>
              <w:kinsoku/>
              <w:wordWrap/>
              <w:overflowPunct/>
              <w:topLinePunct w:val="0"/>
              <w:autoSpaceDE/>
              <w:autoSpaceDN/>
              <w:bidi w:val="0"/>
              <w:adjustRightInd w:val="0"/>
              <w:spacing w:after="0" w:line="520" w:lineRule="exact"/>
              <w:ind w:leftChars="0"/>
              <w:rPr>
                <w:rFonts w:hint="default" w:ascii="Times New Roman" w:hAnsi="Times New Roman" w:eastAsia="宋体" w:cs="Times New Roman"/>
                <w:b w:val="0"/>
                <w:bCs/>
                <w:color w:val="auto"/>
                <w:kern w:val="2"/>
                <w:sz w:val="24"/>
                <w:szCs w:val="24"/>
                <w:highlight w:val="none"/>
                <w:lang w:val="en-US" w:eastAsia="zh-CN" w:bidi="ar"/>
              </w:rPr>
            </w:pPr>
            <w:r>
              <w:rPr>
                <w:rFonts w:hint="default" w:ascii="Times New Roman" w:hAnsi="Times New Roman" w:eastAsia="宋体" w:cs="Times New Roman"/>
                <w:b w:val="0"/>
                <w:bCs/>
                <w:color w:val="auto"/>
                <w:kern w:val="2"/>
                <w:sz w:val="24"/>
                <w:szCs w:val="24"/>
                <w:highlight w:val="none"/>
                <w:lang w:val="en-US" w:eastAsia="zh-CN" w:bidi="ar"/>
              </w:rPr>
              <w:t>②锯头冷却用水：本项目为防止生产过程中的设备锯头发热而造成设备的损坏，对带锯、纵锯机等设备锯头进行喷水冷却，设备冷却用水为4m</w:t>
            </w:r>
            <w:r>
              <w:rPr>
                <w:rFonts w:hint="default" w:ascii="Times New Roman" w:hAnsi="Times New Roman" w:eastAsia="宋体" w:cs="Times New Roman"/>
                <w:b w:val="0"/>
                <w:bCs/>
                <w:color w:val="auto"/>
                <w:kern w:val="2"/>
                <w:sz w:val="24"/>
                <w:szCs w:val="24"/>
                <w:highlight w:val="none"/>
                <w:vertAlign w:val="superscript"/>
                <w:lang w:val="en-US" w:eastAsia="zh-CN" w:bidi="ar"/>
              </w:rPr>
              <w:t>3</w:t>
            </w:r>
            <w:r>
              <w:rPr>
                <w:rFonts w:hint="default" w:ascii="Times New Roman" w:hAnsi="Times New Roman" w:eastAsia="宋体" w:cs="Times New Roman"/>
                <w:b w:val="0"/>
                <w:bCs/>
                <w:color w:val="auto"/>
                <w:kern w:val="2"/>
                <w:sz w:val="24"/>
                <w:szCs w:val="24"/>
                <w:highlight w:val="none"/>
                <w:lang w:val="en-US" w:eastAsia="zh-CN" w:bidi="ar"/>
              </w:rPr>
              <w:t>/d，冷却用水补充量为1200m</w:t>
            </w:r>
            <w:r>
              <w:rPr>
                <w:rFonts w:hint="default" w:ascii="Times New Roman" w:hAnsi="Times New Roman" w:eastAsia="宋体" w:cs="Times New Roman"/>
                <w:b w:val="0"/>
                <w:bCs/>
                <w:color w:val="auto"/>
                <w:kern w:val="2"/>
                <w:sz w:val="24"/>
                <w:szCs w:val="24"/>
                <w:highlight w:val="none"/>
                <w:vertAlign w:val="superscript"/>
                <w:lang w:val="en-US" w:eastAsia="zh-CN" w:bidi="ar"/>
              </w:rPr>
              <w:t>3</w:t>
            </w:r>
            <w:r>
              <w:rPr>
                <w:rFonts w:hint="default" w:ascii="Times New Roman" w:hAnsi="Times New Roman" w:eastAsia="宋体" w:cs="Times New Roman"/>
                <w:b w:val="0"/>
                <w:bCs/>
                <w:color w:val="auto"/>
                <w:kern w:val="2"/>
                <w:sz w:val="24"/>
                <w:szCs w:val="24"/>
                <w:highlight w:val="none"/>
                <w:lang w:val="en-US" w:eastAsia="zh-CN" w:bidi="ar"/>
              </w:rPr>
              <w:t>/a，废水进入锯末，最终蒸发，不外排。锯头冷却用水由蒸汽冷凝水提供。</w:t>
            </w:r>
          </w:p>
          <w:p>
            <w:pPr>
              <w:pStyle w:val="58"/>
              <w:keepNext w:val="0"/>
              <w:keepLines w:val="0"/>
              <w:pageBreakBefore w:val="0"/>
              <w:widowControl w:val="0"/>
              <w:kinsoku/>
              <w:wordWrap/>
              <w:overflowPunct/>
              <w:topLinePunct w:val="0"/>
              <w:autoSpaceDE/>
              <w:autoSpaceDN/>
              <w:bidi w:val="0"/>
              <w:adjustRightInd w:val="0"/>
              <w:spacing w:after="0" w:line="520" w:lineRule="exact"/>
              <w:ind w:leftChars="0"/>
              <w:rPr>
                <w:rFonts w:hint="default" w:ascii="Times New Roman" w:hAnsi="Times New Roman" w:eastAsia="宋体" w:cs="Times New Roman"/>
                <w:b w:val="0"/>
                <w:bCs/>
                <w:color w:val="auto"/>
                <w:kern w:val="2"/>
                <w:sz w:val="24"/>
                <w:szCs w:val="24"/>
                <w:highlight w:val="none"/>
                <w:lang w:val="en-US" w:eastAsia="zh-CN" w:bidi="ar"/>
              </w:rPr>
            </w:pPr>
            <w:r>
              <w:rPr>
                <w:rFonts w:hint="default" w:ascii="Times New Roman" w:hAnsi="Times New Roman" w:eastAsia="宋体" w:cs="Times New Roman"/>
                <w:b w:val="0"/>
                <w:bCs/>
                <w:color w:val="auto"/>
                <w:kern w:val="2"/>
                <w:sz w:val="24"/>
                <w:szCs w:val="24"/>
                <w:highlight w:val="none"/>
                <w:lang w:val="en-US" w:eastAsia="zh-CN" w:bidi="ar"/>
              </w:rPr>
              <w:t>③洒水降尘用水：项目每天对厂区道路洒水1～2次，用以降低车辆运输等扬尘，平均每天洒水用水量为8.6m</w:t>
            </w:r>
            <w:r>
              <w:rPr>
                <w:rFonts w:hint="default" w:ascii="Times New Roman" w:hAnsi="Times New Roman" w:eastAsia="宋体" w:cs="Times New Roman"/>
                <w:b w:val="0"/>
                <w:bCs/>
                <w:color w:val="auto"/>
                <w:kern w:val="2"/>
                <w:sz w:val="24"/>
                <w:szCs w:val="24"/>
                <w:highlight w:val="none"/>
                <w:vertAlign w:val="superscript"/>
                <w:lang w:val="en-US" w:eastAsia="zh-CN" w:bidi="ar"/>
              </w:rPr>
              <w:t>3</w:t>
            </w:r>
            <w:r>
              <w:rPr>
                <w:rFonts w:hint="default" w:ascii="Times New Roman" w:hAnsi="Times New Roman" w:eastAsia="宋体" w:cs="Times New Roman"/>
                <w:b w:val="0"/>
                <w:bCs/>
                <w:color w:val="auto"/>
                <w:kern w:val="2"/>
                <w:sz w:val="24"/>
                <w:szCs w:val="24"/>
                <w:highlight w:val="none"/>
                <w:lang w:val="en-US" w:eastAsia="zh-CN" w:bidi="ar"/>
              </w:rPr>
              <w:t>/d，洒水降尘用水量为2580m</w:t>
            </w:r>
            <w:r>
              <w:rPr>
                <w:rFonts w:hint="default" w:ascii="Times New Roman" w:hAnsi="Times New Roman" w:eastAsia="宋体" w:cs="Times New Roman"/>
                <w:b w:val="0"/>
                <w:bCs/>
                <w:color w:val="auto"/>
                <w:kern w:val="2"/>
                <w:sz w:val="24"/>
                <w:szCs w:val="24"/>
                <w:highlight w:val="none"/>
                <w:vertAlign w:val="superscript"/>
                <w:lang w:val="en-US" w:eastAsia="zh-CN" w:bidi="ar"/>
              </w:rPr>
              <w:t>3</w:t>
            </w:r>
            <w:r>
              <w:rPr>
                <w:rFonts w:hint="default" w:ascii="Times New Roman" w:hAnsi="Times New Roman" w:eastAsia="宋体" w:cs="Times New Roman"/>
                <w:b w:val="0"/>
                <w:bCs/>
                <w:color w:val="auto"/>
                <w:kern w:val="2"/>
                <w:sz w:val="24"/>
                <w:szCs w:val="24"/>
                <w:highlight w:val="none"/>
                <w:lang w:val="en-US" w:eastAsia="zh-CN" w:bidi="ar"/>
              </w:rPr>
              <w:t>/a，由蒸汽冷凝水提供。</w:t>
            </w:r>
          </w:p>
          <w:p>
            <w:pPr>
              <w:pStyle w:val="58"/>
              <w:keepNext w:val="0"/>
              <w:keepLines w:val="0"/>
              <w:pageBreakBefore w:val="0"/>
              <w:widowControl w:val="0"/>
              <w:kinsoku/>
              <w:wordWrap/>
              <w:overflowPunct/>
              <w:topLinePunct w:val="0"/>
              <w:autoSpaceDE/>
              <w:autoSpaceDN/>
              <w:bidi w:val="0"/>
              <w:adjustRightInd w:val="0"/>
              <w:spacing w:after="0" w:line="520" w:lineRule="exact"/>
              <w:ind w:leftChars="0"/>
              <w:jc w:val="both"/>
              <w:rPr>
                <w:rFonts w:hint="default" w:ascii="Times New Roman" w:hAnsi="Times New Roman" w:eastAsia="宋体" w:cs="Times New Roman"/>
                <w:b w:val="0"/>
                <w:bCs/>
                <w:color w:val="auto"/>
                <w:kern w:val="2"/>
                <w:sz w:val="24"/>
                <w:szCs w:val="24"/>
                <w:highlight w:val="none"/>
                <w:lang w:val="en-US" w:eastAsia="zh-CN" w:bidi="ar"/>
              </w:rPr>
            </w:pPr>
            <w:r>
              <w:rPr>
                <w:rFonts w:hint="default" w:ascii="Times New Roman" w:hAnsi="Times New Roman" w:eastAsia="宋体" w:cs="Times New Roman"/>
                <w:b w:val="0"/>
                <w:bCs/>
                <w:color w:val="auto"/>
                <w:kern w:val="2"/>
                <w:sz w:val="24"/>
                <w:szCs w:val="24"/>
                <w:highlight w:val="none"/>
                <w:lang w:val="en-US" w:eastAsia="zh-CN" w:bidi="ar"/>
              </w:rPr>
              <w:t>④消防水池补充水：项目厂区消防水池容积为200m</w:t>
            </w:r>
            <w:r>
              <w:rPr>
                <w:rFonts w:hint="default" w:ascii="Times New Roman" w:hAnsi="Times New Roman" w:eastAsia="宋体" w:cs="Times New Roman"/>
                <w:b w:val="0"/>
                <w:bCs/>
                <w:color w:val="auto"/>
                <w:kern w:val="2"/>
                <w:sz w:val="24"/>
                <w:szCs w:val="24"/>
                <w:highlight w:val="none"/>
                <w:vertAlign w:val="superscript"/>
                <w:lang w:val="en-US" w:eastAsia="zh-CN" w:bidi="ar"/>
              </w:rPr>
              <w:t>3</w:t>
            </w:r>
            <w:r>
              <w:rPr>
                <w:rFonts w:hint="default" w:ascii="Times New Roman" w:hAnsi="Times New Roman" w:eastAsia="宋体" w:cs="Times New Roman"/>
                <w:b w:val="0"/>
                <w:bCs/>
                <w:color w:val="auto"/>
                <w:kern w:val="2"/>
                <w:sz w:val="24"/>
                <w:szCs w:val="24"/>
                <w:highlight w:val="none"/>
                <w:lang w:val="en-US" w:eastAsia="zh-CN" w:bidi="ar"/>
              </w:rPr>
              <w:t>，消防水池补充水为183.2m</w:t>
            </w:r>
            <w:r>
              <w:rPr>
                <w:rFonts w:hint="default" w:ascii="Times New Roman" w:hAnsi="Times New Roman" w:eastAsia="宋体" w:cs="Times New Roman"/>
                <w:b w:val="0"/>
                <w:bCs/>
                <w:color w:val="auto"/>
                <w:kern w:val="2"/>
                <w:sz w:val="24"/>
                <w:szCs w:val="24"/>
                <w:highlight w:val="none"/>
                <w:vertAlign w:val="superscript"/>
                <w:lang w:val="en-US" w:eastAsia="zh-CN" w:bidi="ar"/>
              </w:rPr>
              <w:t>3</w:t>
            </w:r>
            <w:r>
              <w:rPr>
                <w:rFonts w:hint="default" w:ascii="Times New Roman" w:hAnsi="Times New Roman" w:eastAsia="宋体" w:cs="Times New Roman"/>
                <w:b w:val="0"/>
                <w:bCs/>
                <w:color w:val="auto"/>
                <w:kern w:val="2"/>
                <w:sz w:val="24"/>
                <w:szCs w:val="24"/>
                <w:highlight w:val="none"/>
                <w:lang w:val="en-US" w:eastAsia="zh-CN" w:bidi="ar"/>
              </w:rPr>
              <w:t>/a，由蒸汽冷凝水提供。</w:t>
            </w:r>
          </w:p>
          <w:p>
            <w:pPr>
              <w:pStyle w:val="58"/>
              <w:keepNext w:val="0"/>
              <w:keepLines w:val="0"/>
              <w:pageBreakBefore w:val="0"/>
              <w:widowControl w:val="0"/>
              <w:kinsoku/>
              <w:wordWrap/>
              <w:overflowPunct/>
              <w:topLinePunct w:val="0"/>
              <w:autoSpaceDE/>
              <w:autoSpaceDN/>
              <w:bidi w:val="0"/>
              <w:adjustRightInd w:val="0"/>
              <w:spacing w:after="0" w:line="520" w:lineRule="exact"/>
              <w:ind w:leftChars="0"/>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b w:val="0"/>
                <w:bCs/>
                <w:color w:val="auto"/>
                <w:kern w:val="2"/>
                <w:sz w:val="24"/>
                <w:szCs w:val="24"/>
                <w:highlight w:val="none"/>
                <w:lang w:val="en-US" w:eastAsia="zh-CN" w:bidi="ar"/>
              </w:rPr>
              <w:t>综上，本项目所需新鲜水量合计为2351m</w:t>
            </w:r>
            <w:r>
              <w:rPr>
                <w:rFonts w:hint="default" w:ascii="Times New Roman" w:hAnsi="Times New Roman" w:eastAsia="宋体" w:cs="Times New Roman"/>
                <w:b w:val="0"/>
                <w:bCs/>
                <w:color w:val="auto"/>
                <w:kern w:val="2"/>
                <w:sz w:val="24"/>
                <w:szCs w:val="24"/>
                <w:highlight w:val="none"/>
                <w:vertAlign w:val="superscript"/>
                <w:lang w:val="en-US" w:eastAsia="zh-CN" w:bidi="ar"/>
              </w:rPr>
              <w:t>3</w:t>
            </w:r>
            <w:r>
              <w:rPr>
                <w:rFonts w:hint="default" w:ascii="Times New Roman" w:hAnsi="Times New Roman" w:eastAsia="宋体" w:cs="Times New Roman"/>
                <w:b w:val="0"/>
                <w:bCs/>
                <w:color w:val="auto"/>
                <w:kern w:val="2"/>
                <w:sz w:val="24"/>
                <w:szCs w:val="24"/>
                <w:highlight w:val="none"/>
                <w:lang w:val="en-US" w:eastAsia="zh-CN" w:bidi="ar"/>
              </w:rPr>
              <w:t>/a。</w:t>
            </w:r>
          </w:p>
          <w:p>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520" w:lineRule="exact"/>
              <w:ind w:left="0" w:leftChars="0" w:right="0" w:firstLine="482" w:firstLineChars="200"/>
              <w:jc w:val="left"/>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2、排水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①生产废水</w:t>
            </w:r>
          </w:p>
          <w:p>
            <w:pPr>
              <w:pStyle w:val="58"/>
              <w:keepNext w:val="0"/>
              <w:keepLines w:val="0"/>
              <w:pageBreakBefore w:val="0"/>
              <w:widowControl w:val="0"/>
              <w:kinsoku/>
              <w:wordWrap/>
              <w:overflowPunct/>
              <w:topLinePunct w:val="0"/>
              <w:autoSpaceDE/>
              <w:autoSpaceDN/>
              <w:bidi w:val="0"/>
              <w:adjustRightInd w:val="0"/>
              <w:spacing w:after="0" w:line="520" w:lineRule="exact"/>
              <w:ind w:leftChars="0"/>
              <w:jc w:val="both"/>
              <w:rPr>
                <w:rFonts w:hint="default" w:ascii="Times New Roman" w:hAnsi="Times New Roman" w:eastAsia="宋体" w:cs="Times New Roman"/>
                <w:b w:val="0"/>
                <w:bCs/>
                <w:color w:val="auto"/>
                <w:kern w:val="2"/>
                <w:sz w:val="24"/>
                <w:szCs w:val="24"/>
                <w:highlight w:val="none"/>
                <w:lang w:val="en-US" w:eastAsia="zh-CN" w:bidi="ar"/>
              </w:rPr>
            </w:pPr>
            <w:r>
              <w:rPr>
                <w:rFonts w:hint="default" w:ascii="Times New Roman" w:hAnsi="Times New Roman" w:eastAsia="宋体" w:cs="Times New Roman"/>
                <w:b w:val="0"/>
                <w:bCs/>
                <w:color w:val="auto"/>
                <w:kern w:val="2"/>
                <w:sz w:val="24"/>
                <w:szCs w:val="24"/>
                <w:highlight w:val="none"/>
                <w:lang w:val="en-US" w:eastAsia="zh-CN" w:bidi="ar"/>
              </w:rPr>
              <w:t>排水：本项目采用清污分流排水系统，本项目无生产废水产生，废水主要为生活污水。</w:t>
            </w:r>
          </w:p>
          <w:p>
            <w:pPr>
              <w:pStyle w:val="58"/>
              <w:keepNext w:val="0"/>
              <w:keepLines w:val="0"/>
              <w:pageBreakBefore w:val="0"/>
              <w:widowControl w:val="0"/>
              <w:kinsoku/>
              <w:wordWrap/>
              <w:overflowPunct/>
              <w:topLinePunct w:val="0"/>
              <w:autoSpaceDE/>
              <w:autoSpaceDN/>
              <w:bidi w:val="0"/>
              <w:adjustRightInd w:val="0"/>
              <w:spacing w:after="0" w:line="520" w:lineRule="exact"/>
              <w:ind w:leftChars="0"/>
              <w:jc w:val="both"/>
              <w:rPr>
                <w:rFonts w:hint="default" w:ascii="Times New Roman" w:hAnsi="Times New Roman" w:eastAsia="宋体" w:cs="Times New Roman"/>
                <w:b w:val="0"/>
                <w:bCs/>
                <w:color w:val="auto"/>
                <w:kern w:val="2"/>
                <w:sz w:val="24"/>
                <w:szCs w:val="24"/>
                <w:highlight w:val="none"/>
                <w:lang w:val="en-US" w:eastAsia="zh-CN" w:bidi="ar"/>
              </w:rPr>
            </w:pPr>
            <w:r>
              <w:rPr>
                <w:rFonts w:hint="default" w:ascii="Times New Roman" w:hAnsi="Times New Roman" w:eastAsia="宋体" w:cs="Times New Roman"/>
                <w:b w:val="0"/>
                <w:bCs/>
                <w:color w:val="auto"/>
                <w:kern w:val="2"/>
                <w:sz w:val="24"/>
                <w:szCs w:val="24"/>
                <w:highlight w:val="none"/>
                <w:lang w:val="en-US" w:eastAsia="zh-CN" w:bidi="ar"/>
              </w:rPr>
              <w:t>①生活污水：生活污水产生量为864m</w:t>
            </w:r>
            <w:r>
              <w:rPr>
                <w:rFonts w:hint="default" w:ascii="Times New Roman" w:hAnsi="Times New Roman" w:eastAsia="宋体" w:cs="Times New Roman"/>
                <w:b w:val="0"/>
                <w:bCs/>
                <w:color w:val="auto"/>
                <w:kern w:val="2"/>
                <w:sz w:val="24"/>
                <w:szCs w:val="24"/>
                <w:highlight w:val="none"/>
                <w:vertAlign w:val="superscript"/>
                <w:lang w:val="en-US" w:eastAsia="zh-CN" w:bidi="ar"/>
              </w:rPr>
              <w:t>3</w:t>
            </w:r>
            <w:r>
              <w:rPr>
                <w:rFonts w:hint="default" w:ascii="Times New Roman" w:hAnsi="Times New Roman" w:eastAsia="宋体" w:cs="Times New Roman"/>
                <w:b w:val="0"/>
                <w:bCs/>
                <w:color w:val="auto"/>
                <w:kern w:val="2"/>
                <w:sz w:val="24"/>
                <w:szCs w:val="24"/>
                <w:highlight w:val="none"/>
                <w:lang w:val="en-US" w:eastAsia="zh-CN" w:bidi="ar"/>
              </w:rPr>
              <w:t>/a，进入化粪池处理后，经市政污水管网，排入世纪花园污水处理厂处理后最终排入泳汶河污水处理厂。</w:t>
            </w:r>
          </w:p>
          <w:p>
            <w:pPr>
              <w:pStyle w:val="58"/>
              <w:keepNext w:val="0"/>
              <w:keepLines w:val="0"/>
              <w:pageBreakBefore w:val="0"/>
              <w:widowControl w:val="0"/>
              <w:kinsoku/>
              <w:wordWrap/>
              <w:overflowPunct/>
              <w:topLinePunct w:val="0"/>
              <w:autoSpaceDE/>
              <w:autoSpaceDN/>
              <w:bidi w:val="0"/>
              <w:adjustRightInd w:val="0"/>
              <w:spacing w:after="0" w:line="520" w:lineRule="exact"/>
              <w:ind w:leftChars="0"/>
              <w:jc w:val="both"/>
              <w:rPr>
                <w:rFonts w:hint="default" w:ascii="Times New Roman" w:hAnsi="Times New Roman" w:eastAsia="宋体" w:cs="Times New Roman"/>
                <w:b/>
                <w:bCs/>
                <w:color w:val="auto"/>
              </w:rPr>
            </w:pPr>
            <w:r>
              <w:rPr>
                <w:rFonts w:hint="default" w:ascii="Times New Roman" w:hAnsi="Times New Roman" w:eastAsia="宋体" w:cs="Times New Roman"/>
                <w:b w:val="0"/>
                <w:bCs/>
                <w:color w:val="auto"/>
                <w:kern w:val="2"/>
                <w:sz w:val="24"/>
                <w:szCs w:val="24"/>
                <w:highlight w:val="none"/>
                <w:lang w:val="en-US" w:eastAsia="zh-CN" w:bidi="ar"/>
              </w:rPr>
              <w:t>②蒸汽冷凝水：本项目使用蒸汽烘干木材和冬季办公室采暖，木材烘干量为4200m³/年，蒸汽使用量为6304t/a，蒸汽使用过程中，部分（20%）损耗，则损耗量为1260.8t/a，部分（80%）变为蒸汽冷凝水，即为5043.2t/a，蒸汽冷凝水用于生活用水、锯头冷却用水、厂区洒水降尘用水、消防水池补充水，不外排。锯头冷却用水、厂区洒水降尘用水蒸发损耗，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pStyle w:val="2"/>
              <w:widowControl w:val="0"/>
              <w:spacing w:after="0" w:line="360" w:lineRule="auto"/>
              <w:ind w:left="0" w:leftChars="0" w:firstLine="0" w:firstLineChars="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2.3主要工艺流程及产污环节</w:t>
            </w:r>
          </w:p>
          <w:p>
            <w:pPr>
              <w:widowControl w:val="0"/>
              <w:tabs>
                <w:tab w:val="left" w:pos="0"/>
                <w:tab w:val="left" w:pos="1830"/>
              </w:tabs>
              <w:spacing w:line="520" w:lineRule="exact"/>
              <w:ind w:firstLine="480" w:firstLineChars="200"/>
              <w:jc w:val="both"/>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1、本项目主要工艺流程图</w:t>
            </w:r>
          </w:p>
          <w:p>
            <w:pPr>
              <w:widowControl w:val="0"/>
              <w:tabs>
                <w:tab w:val="left" w:pos="0"/>
                <w:tab w:val="left" w:pos="1830"/>
              </w:tabs>
              <w:spacing w:line="520" w:lineRule="exact"/>
              <w:jc w:val="center"/>
              <w:rPr>
                <w:rFonts w:hint="default" w:ascii="Times New Roman" w:hAnsi="Times New Roman" w:cs="Times New Roman"/>
                <w:b/>
                <w:color w:val="000000"/>
                <w:sz w:val="24"/>
                <w:highlight w:val="none"/>
              </w:rPr>
            </w:pPr>
            <w:r>
              <w:rPr>
                <w:rFonts w:hint="default" w:ascii="Times New Roman" w:hAnsi="Times New Roman" w:cs="Times New Roman"/>
                <w:color w:val="000000"/>
                <w:sz w:val="24"/>
                <w:highlight w:val="none"/>
              </w:rPr>
              <w:pict>
                <v:shape id="Object 3" o:spid="_x0000_s1028" o:spt="75" type="#_x0000_t75" style="position:absolute;left:0pt;margin-left:42.05pt;margin-top:1.9pt;height:78.75pt;width:315.95pt;z-index:251661312;mso-width-relative:page;mso-height-relative:page;" o:ole="t" filled="f" o:preferrelative="t" stroked="f" coordsize="21600,21600">
                  <v:path/>
                  <v:fill on="f" focussize="0,0"/>
                  <v:stroke on="f"/>
                  <v:imagedata r:id="rId15" o:title=""/>
                  <o:lock v:ext="edit" aspectratio="f"/>
                </v:shape>
                <o:OLEObject Type="Embed" ProgID="Visio.Drawing.11" ShapeID="Object 3" DrawAspect="Content" ObjectID="_1468075725" r:id="rId14">
                  <o:LockedField>false</o:LockedField>
                </o:OLEObject>
              </w:pict>
            </w:r>
          </w:p>
          <w:p>
            <w:pPr>
              <w:widowControl w:val="0"/>
              <w:tabs>
                <w:tab w:val="left" w:pos="0"/>
                <w:tab w:val="left" w:pos="1830"/>
              </w:tabs>
              <w:spacing w:line="520" w:lineRule="exact"/>
              <w:jc w:val="center"/>
              <w:rPr>
                <w:rFonts w:hint="default" w:ascii="Times New Roman" w:hAnsi="Times New Roman" w:cs="Times New Roman"/>
                <w:b/>
                <w:color w:val="000000"/>
                <w:sz w:val="24"/>
                <w:highlight w:val="none"/>
              </w:rPr>
            </w:pPr>
          </w:p>
          <w:p>
            <w:pPr>
              <w:widowControl w:val="0"/>
              <w:tabs>
                <w:tab w:val="left" w:pos="0"/>
                <w:tab w:val="left" w:pos="1830"/>
              </w:tabs>
              <w:spacing w:line="520" w:lineRule="exact"/>
              <w:jc w:val="center"/>
              <w:rPr>
                <w:rFonts w:hint="default" w:ascii="Times New Roman" w:hAnsi="Times New Roman" w:cs="Times New Roman"/>
                <w:b/>
                <w:color w:val="000000"/>
                <w:sz w:val="24"/>
                <w:highlight w:val="none"/>
              </w:rPr>
            </w:pPr>
          </w:p>
          <w:p>
            <w:pPr>
              <w:widowControl w:val="0"/>
              <w:tabs>
                <w:tab w:val="left" w:pos="0"/>
                <w:tab w:val="left" w:pos="1830"/>
              </w:tabs>
              <w:spacing w:line="520" w:lineRule="exact"/>
              <w:jc w:val="center"/>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图2-2  本项目</w:t>
            </w:r>
            <w:r>
              <w:rPr>
                <w:rFonts w:hint="default" w:ascii="Times New Roman" w:hAnsi="Times New Roman" w:cs="Times New Roman"/>
                <w:b/>
                <w:color w:val="000000"/>
                <w:sz w:val="24"/>
                <w:highlight w:val="none"/>
                <w:lang w:eastAsia="zh-CN"/>
              </w:rPr>
              <w:t>带锯车间</w:t>
            </w:r>
            <w:r>
              <w:rPr>
                <w:rFonts w:hint="default" w:ascii="Times New Roman" w:hAnsi="Times New Roman" w:cs="Times New Roman"/>
                <w:b/>
                <w:color w:val="000000"/>
                <w:sz w:val="24"/>
                <w:highlight w:val="none"/>
              </w:rPr>
              <w:t>主要工艺流程图及产污环节</w:t>
            </w:r>
          </w:p>
          <w:p>
            <w:pPr>
              <w:pStyle w:val="2"/>
              <w:widowControl w:val="0"/>
              <w:jc w:val="both"/>
              <w:rPr>
                <w:rFonts w:hint="default" w:ascii="Times New Roman" w:hAnsi="Times New Roman" w:cs="Times New Roman"/>
                <w:b/>
                <w:color w:val="000000"/>
                <w:sz w:val="24"/>
                <w:highlight w:val="none"/>
              </w:rPr>
            </w:pPr>
            <w:r>
              <w:rPr>
                <w:rFonts w:hint="default" w:ascii="Times New Roman" w:hAnsi="Times New Roman" w:cs="Times New Roman"/>
                <w:color w:val="000000"/>
                <w:sz w:val="24"/>
                <w:highlight w:val="none"/>
              </w:rPr>
              <w:pict>
                <v:shape id="_x0000_s1029" o:spid="_x0000_s1029" o:spt="75" type="#_x0000_t75" style="position:absolute;left:0pt;margin-left:-2.95pt;margin-top:8.2pt;height:120.45pt;width:412.4pt;z-index:251662336;mso-width-relative:page;mso-height-relative:page;" o:ole="t" filled="f" o:preferrelative="t" stroked="f" coordsize="21600,21600">
                  <v:path/>
                  <v:fill on="f" focussize="0,0"/>
                  <v:stroke on="f"/>
                  <v:imagedata r:id="rId17" o:title=""/>
                  <o:lock v:ext="edit" aspectratio="f"/>
                </v:shape>
                <o:OLEObject Type="Embed" ProgID="Visio.Drawing.11" ShapeID="_x0000_s1029" DrawAspect="Content" ObjectID="_1468075726" r:id="rId16">
                  <o:LockedField>false</o:LockedField>
                </o:OLEObject>
              </w:pict>
            </w:r>
          </w:p>
          <w:p>
            <w:pPr>
              <w:pStyle w:val="2"/>
              <w:widowControl w:val="0"/>
              <w:jc w:val="both"/>
              <w:rPr>
                <w:rFonts w:hint="default" w:ascii="Times New Roman" w:hAnsi="Times New Roman" w:eastAsia="宋体" w:cs="Times New Roman"/>
                <w:b/>
                <w:color w:val="000000"/>
                <w:sz w:val="24"/>
                <w:highlight w:val="none"/>
                <w:lang w:eastAsia="zh-CN"/>
              </w:rPr>
            </w:pPr>
          </w:p>
          <w:p>
            <w:pPr>
              <w:widowControl w:val="0"/>
              <w:jc w:val="both"/>
              <w:rPr>
                <w:rFonts w:hint="default" w:ascii="Times New Roman" w:hAnsi="Times New Roman" w:cs="Times New Roman"/>
                <w:color w:val="000000"/>
                <w:lang w:eastAsia="zh-CN"/>
              </w:rPr>
            </w:pPr>
          </w:p>
          <w:p>
            <w:pPr>
              <w:widowControl w:val="0"/>
              <w:jc w:val="both"/>
              <w:rPr>
                <w:rFonts w:hint="default" w:ascii="Times New Roman" w:hAnsi="Times New Roman" w:cs="Times New Roman"/>
                <w:color w:val="000000"/>
                <w:lang w:eastAsia="zh-CN"/>
              </w:rPr>
            </w:pPr>
          </w:p>
          <w:p>
            <w:pPr>
              <w:widowControl w:val="0"/>
              <w:jc w:val="both"/>
              <w:rPr>
                <w:rFonts w:hint="default" w:ascii="Times New Roman" w:hAnsi="Times New Roman" w:cs="Times New Roman"/>
                <w:color w:val="000000"/>
                <w:lang w:eastAsia="zh-CN"/>
              </w:rPr>
            </w:pPr>
          </w:p>
          <w:p>
            <w:pPr>
              <w:widowControl w:val="0"/>
              <w:tabs>
                <w:tab w:val="left" w:pos="0"/>
                <w:tab w:val="left" w:pos="1830"/>
              </w:tabs>
              <w:spacing w:line="520" w:lineRule="exact"/>
              <w:jc w:val="center"/>
              <w:rPr>
                <w:rFonts w:hint="default" w:ascii="Times New Roman" w:hAnsi="Times New Roman" w:eastAsia="宋体" w:cs="Times New Roman"/>
                <w:b/>
                <w:color w:val="000000"/>
                <w:sz w:val="24"/>
                <w:highlight w:val="none"/>
                <w:lang w:eastAsia="zh-CN"/>
              </w:rPr>
            </w:pPr>
          </w:p>
          <w:p>
            <w:pPr>
              <w:widowControl w:val="0"/>
              <w:tabs>
                <w:tab w:val="left" w:pos="0"/>
                <w:tab w:val="left" w:pos="1830"/>
              </w:tabs>
              <w:spacing w:line="520" w:lineRule="exact"/>
              <w:jc w:val="center"/>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图2-</w:t>
            </w:r>
            <w:r>
              <w:rPr>
                <w:rFonts w:hint="default" w:ascii="Times New Roman" w:hAnsi="Times New Roman" w:cs="Times New Roman"/>
                <w:b/>
                <w:color w:val="000000"/>
                <w:sz w:val="24"/>
                <w:highlight w:val="none"/>
                <w:lang w:val="en-US" w:eastAsia="zh-CN"/>
              </w:rPr>
              <w:t>3</w:t>
            </w:r>
            <w:r>
              <w:rPr>
                <w:rFonts w:hint="default" w:ascii="Times New Roman" w:hAnsi="Times New Roman" w:cs="Times New Roman"/>
                <w:b/>
                <w:color w:val="000000"/>
                <w:sz w:val="24"/>
                <w:highlight w:val="none"/>
              </w:rPr>
              <w:t xml:space="preserve">  本项目</w:t>
            </w:r>
            <w:r>
              <w:rPr>
                <w:rFonts w:hint="default" w:ascii="Times New Roman" w:hAnsi="Times New Roman" w:cs="Times New Roman"/>
                <w:b/>
                <w:color w:val="000000"/>
                <w:sz w:val="24"/>
                <w:highlight w:val="none"/>
                <w:lang w:eastAsia="zh-CN"/>
              </w:rPr>
              <w:t>制作车间</w:t>
            </w:r>
            <w:r>
              <w:rPr>
                <w:rFonts w:hint="default" w:ascii="Times New Roman" w:hAnsi="Times New Roman" w:cs="Times New Roman"/>
                <w:b/>
                <w:color w:val="000000"/>
                <w:sz w:val="24"/>
                <w:highlight w:val="none"/>
              </w:rPr>
              <w:t>主要工艺流程图及产污环节</w:t>
            </w:r>
          </w:p>
          <w:p>
            <w:pPr>
              <w:widowControl w:val="0"/>
              <w:spacing w:line="600" w:lineRule="exact"/>
              <w:ind w:firstLine="471" w:firstLineChars="196"/>
              <w:jc w:val="both"/>
              <w:rPr>
                <w:rFonts w:hint="default" w:ascii="Times New Roman" w:hAnsi="Times New Roman" w:cs="Times New Roman"/>
                <w:color w:val="000000"/>
                <w:highlight w:val="none"/>
              </w:rPr>
            </w:pPr>
            <w:r>
              <w:rPr>
                <w:rFonts w:hint="default" w:ascii="Times New Roman" w:hAnsi="Times New Roman" w:cs="Times New Roman"/>
                <w:b/>
                <w:bCs/>
                <w:color w:val="000000"/>
                <w:sz w:val="24"/>
                <w:highlight w:val="none"/>
              </w:rPr>
              <w:t>项目生产工艺简述：</w:t>
            </w:r>
          </w:p>
          <w:p>
            <w:pPr>
              <w:widowControl w:val="0"/>
              <w:tabs>
                <w:tab w:val="left" w:pos="0"/>
                <w:tab w:val="left" w:pos="1830"/>
              </w:tabs>
              <w:spacing w:line="520" w:lineRule="exact"/>
              <w:ind w:firstLine="480"/>
              <w:jc w:val="both"/>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本项目为木托盘及包装</w:t>
            </w:r>
            <w:r>
              <w:rPr>
                <w:rFonts w:hint="default" w:ascii="Times New Roman" w:hAnsi="Times New Roman" w:eastAsia="宋体" w:cs="Times New Roman"/>
                <w:color w:val="000000"/>
                <w:sz w:val="24"/>
                <w:highlight w:val="none"/>
                <w:lang w:eastAsia="zh-CN"/>
              </w:rPr>
              <w:t>木箱</w:t>
            </w:r>
            <w:r>
              <w:rPr>
                <w:rFonts w:hint="default" w:ascii="Times New Roman" w:hAnsi="Times New Roman" w:eastAsia="宋体" w:cs="Times New Roman"/>
                <w:color w:val="000000"/>
                <w:sz w:val="24"/>
                <w:highlight w:val="none"/>
              </w:rPr>
              <w:t>加工制造，工艺主要涉及木材的锯切、刨光、钻铣、开孔、组装、烘干等工序。</w:t>
            </w:r>
          </w:p>
          <w:p>
            <w:pPr>
              <w:widowControl w:val="0"/>
              <w:tabs>
                <w:tab w:val="left" w:pos="0"/>
                <w:tab w:val="left" w:pos="1830"/>
              </w:tabs>
              <w:spacing w:line="520" w:lineRule="exact"/>
              <w:ind w:firstLine="480"/>
              <w:jc w:val="both"/>
              <w:rPr>
                <w:rFonts w:hint="default" w:ascii="Times New Roman" w:hAnsi="Times New Roman" w:eastAsia="宋体" w:cs="Times New Roman"/>
                <w:color w:val="000000"/>
                <w:sz w:val="24"/>
                <w:highlight w:val="none"/>
              </w:rPr>
            </w:pPr>
            <w:r>
              <w:rPr>
                <w:rFonts w:hint="default" w:ascii="Times New Roman" w:hAnsi="Times New Roman" w:cs="Times New Roman"/>
                <w:color w:val="000000"/>
                <w:sz w:val="24"/>
                <w:highlight w:val="none"/>
              </w:rPr>
              <w:t>①</w:t>
            </w:r>
            <w:r>
              <w:rPr>
                <w:rFonts w:hint="default" w:ascii="Times New Roman" w:hAnsi="Times New Roman" w:eastAsia="宋体" w:cs="Times New Roman"/>
                <w:color w:val="000000"/>
                <w:sz w:val="24"/>
                <w:highlight w:val="none"/>
              </w:rPr>
              <w:t>带锯车间</w:t>
            </w:r>
          </w:p>
          <w:p>
            <w:pPr>
              <w:widowControl w:val="0"/>
              <w:tabs>
                <w:tab w:val="left" w:pos="0"/>
                <w:tab w:val="left" w:pos="1830"/>
              </w:tabs>
              <w:spacing w:line="520" w:lineRule="exact"/>
              <w:ind w:firstLine="480"/>
              <w:jc w:val="both"/>
              <w:rPr>
                <w:rFonts w:hint="default"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sz w:val="24"/>
                <w:highlight w:val="none"/>
              </w:rPr>
              <w:t>首先外购木材在带锯车间内通过纵锯机、带锯机等进行长材截断和锯切下料， 以使木料达到订单需求的长度、宽度及厚度</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rPr>
              <w:t>长材截断和锯切下料环节均产生粉尘、固体废物（下脚料、碎屑）及噪声</w:t>
            </w:r>
            <w:r>
              <w:rPr>
                <w:rFonts w:hint="default" w:ascii="Times New Roman" w:hAnsi="Times New Roman" w:eastAsia="宋体" w:cs="Times New Roman"/>
                <w:color w:val="000000"/>
                <w:sz w:val="24"/>
                <w:highlight w:val="none"/>
                <w:lang w:val="en-US" w:eastAsia="zh-CN"/>
              </w:rPr>
              <w:t>。</w:t>
            </w:r>
          </w:p>
          <w:p>
            <w:pPr>
              <w:widowControl w:val="0"/>
              <w:tabs>
                <w:tab w:val="left" w:pos="0"/>
                <w:tab w:val="left" w:pos="1830"/>
              </w:tabs>
              <w:spacing w:line="520" w:lineRule="exact"/>
              <w:ind w:firstLine="480"/>
              <w:jc w:val="both"/>
              <w:rPr>
                <w:rFonts w:hint="default" w:ascii="Times New Roman" w:hAnsi="Times New Roman" w:eastAsia="宋体" w:cs="Times New Roman"/>
                <w:color w:val="000000"/>
                <w:sz w:val="24"/>
                <w:highlight w:val="none"/>
                <w:lang w:eastAsia="zh-CN"/>
              </w:rPr>
            </w:pPr>
            <w:r>
              <w:rPr>
                <w:rFonts w:hint="default" w:ascii="Times New Roman" w:hAnsi="Times New Roman" w:cs="Times New Roman"/>
                <w:color w:val="000000"/>
                <w:sz w:val="24"/>
                <w:highlight w:val="none"/>
              </w:rPr>
              <w:t>产污环节：</w:t>
            </w:r>
            <w:r>
              <w:rPr>
                <w:rFonts w:hint="default" w:ascii="Times New Roman" w:hAnsi="Times New Roman" w:eastAsia="宋体" w:cs="Times New Roman"/>
                <w:color w:val="000000"/>
                <w:sz w:val="24"/>
                <w:highlight w:val="none"/>
              </w:rPr>
              <w:t>长材截断和锯切下料环节均产生</w:t>
            </w:r>
            <w:r>
              <w:rPr>
                <w:rFonts w:hint="default" w:ascii="Times New Roman" w:hAnsi="Times New Roman" w:eastAsia="宋体" w:cs="Times New Roman"/>
                <w:color w:val="000000"/>
                <w:sz w:val="24"/>
                <w:highlight w:val="none"/>
                <w:lang w:eastAsia="zh-CN"/>
              </w:rPr>
              <w:t>颗粒物</w:t>
            </w:r>
            <w:r>
              <w:rPr>
                <w:rFonts w:hint="default" w:ascii="Times New Roman" w:hAnsi="Times New Roman" w:eastAsia="宋体" w:cs="Times New Roman"/>
                <w:color w:val="000000"/>
                <w:sz w:val="24"/>
                <w:highlight w:val="none"/>
              </w:rPr>
              <w:t>、固体废物（</w:t>
            </w:r>
            <w:r>
              <w:rPr>
                <w:rFonts w:hint="default" w:ascii="Times New Roman" w:hAnsi="Times New Roman" w:eastAsia="宋体" w:cs="Times New Roman"/>
                <w:color w:val="000000"/>
                <w:sz w:val="24"/>
                <w:highlight w:val="none"/>
                <w:lang w:eastAsia="zh-CN"/>
              </w:rPr>
              <w:t>边角料</w:t>
            </w:r>
            <w:r>
              <w:rPr>
                <w:rFonts w:hint="default" w:ascii="Times New Roman" w:hAnsi="Times New Roman" w:eastAsia="宋体" w:cs="Times New Roman"/>
                <w:color w:val="000000"/>
                <w:sz w:val="24"/>
                <w:highlight w:val="none"/>
              </w:rPr>
              <w:t>、</w:t>
            </w:r>
            <w:r>
              <w:rPr>
                <w:rFonts w:hint="default" w:ascii="Times New Roman" w:hAnsi="Times New Roman" w:eastAsia="宋体" w:cs="Times New Roman"/>
                <w:color w:val="000000"/>
                <w:sz w:val="24"/>
                <w:highlight w:val="none"/>
                <w:lang w:eastAsia="zh-CN"/>
              </w:rPr>
              <w:t>木屑</w:t>
            </w:r>
            <w:r>
              <w:rPr>
                <w:rFonts w:hint="default" w:ascii="Times New Roman" w:hAnsi="Times New Roman" w:eastAsia="宋体" w:cs="Times New Roman"/>
                <w:color w:val="000000"/>
                <w:sz w:val="24"/>
                <w:highlight w:val="none"/>
              </w:rPr>
              <w:t>）及噪声</w:t>
            </w:r>
            <w:r>
              <w:rPr>
                <w:rFonts w:hint="default" w:ascii="Times New Roman" w:hAnsi="Times New Roman" w:eastAsia="宋体" w:cs="Times New Roman"/>
                <w:color w:val="000000"/>
                <w:sz w:val="24"/>
                <w:highlight w:val="none"/>
                <w:lang w:val="en-US" w:eastAsia="zh-CN"/>
              </w:rPr>
              <w:t>。</w:t>
            </w:r>
          </w:p>
          <w:p>
            <w:pPr>
              <w:widowControl w:val="0"/>
              <w:tabs>
                <w:tab w:val="left" w:pos="0"/>
                <w:tab w:val="left" w:pos="1830"/>
              </w:tabs>
              <w:spacing w:line="520" w:lineRule="exact"/>
              <w:ind w:firstLine="480"/>
              <w:jc w:val="both"/>
              <w:rPr>
                <w:rFonts w:hint="default" w:ascii="Times New Roman" w:hAnsi="Times New Roman" w:eastAsia="宋体" w:cs="Times New Roman"/>
                <w:color w:val="000000"/>
                <w:sz w:val="24"/>
                <w:highlight w:val="none"/>
              </w:rPr>
            </w:pPr>
            <w:r>
              <w:rPr>
                <w:rFonts w:hint="default" w:ascii="Times New Roman" w:hAnsi="Times New Roman" w:cs="Times New Roman"/>
                <w:color w:val="000000"/>
                <w:sz w:val="24"/>
                <w:highlight w:val="none"/>
              </w:rPr>
              <w:t>②</w:t>
            </w:r>
            <w:r>
              <w:rPr>
                <w:rFonts w:hint="default" w:ascii="Times New Roman" w:hAnsi="Times New Roman" w:eastAsia="宋体" w:cs="Times New Roman"/>
                <w:color w:val="000000"/>
                <w:sz w:val="24"/>
                <w:highlight w:val="none"/>
                <w:lang w:eastAsia="zh-CN"/>
              </w:rPr>
              <w:t>制作</w:t>
            </w:r>
            <w:r>
              <w:rPr>
                <w:rFonts w:hint="default" w:ascii="Times New Roman" w:hAnsi="Times New Roman" w:eastAsia="宋体" w:cs="Times New Roman"/>
                <w:color w:val="000000"/>
                <w:sz w:val="24"/>
                <w:highlight w:val="none"/>
              </w:rPr>
              <w:t>车间</w:t>
            </w:r>
          </w:p>
          <w:p>
            <w:pPr>
              <w:widowControl w:val="0"/>
              <w:tabs>
                <w:tab w:val="left" w:pos="0"/>
                <w:tab w:val="left" w:pos="1830"/>
              </w:tabs>
              <w:spacing w:line="520" w:lineRule="exact"/>
              <w:ind w:firstLine="480"/>
              <w:jc w:val="both"/>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在</w:t>
            </w:r>
            <w:r>
              <w:rPr>
                <w:rFonts w:hint="default" w:ascii="Times New Roman" w:hAnsi="Times New Roman" w:eastAsia="宋体" w:cs="Times New Roman"/>
                <w:color w:val="000000"/>
                <w:sz w:val="24"/>
                <w:highlight w:val="none"/>
                <w:lang w:eastAsia="zh-CN"/>
              </w:rPr>
              <w:t>制作</w:t>
            </w:r>
            <w:r>
              <w:rPr>
                <w:rFonts w:hint="default" w:ascii="Times New Roman" w:hAnsi="Times New Roman" w:eastAsia="宋体" w:cs="Times New Roman"/>
                <w:color w:val="000000"/>
                <w:sz w:val="24"/>
                <w:highlight w:val="none"/>
              </w:rPr>
              <w:t>车间利用推台锯、刨床、多轴钻、镂铣机等对来自带锯车间的初加工木料进行刨光、钻铣、开孔等操作后，进行组装。</w:t>
            </w:r>
          </w:p>
          <w:p>
            <w:pPr>
              <w:widowControl w:val="0"/>
              <w:spacing w:line="520" w:lineRule="exact"/>
              <w:ind w:firstLine="480" w:firstLineChars="200"/>
              <w:jc w:val="left"/>
              <w:textAlignment w:val="baseline"/>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全部加工完成后的产品进</w:t>
            </w:r>
            <w:r>
              <w:rPr>
                <w:rFonts w:hint="default" w:ascii="Times New Roman" w:hAnsi="Times New Roman" w:eastAsia="宋体" w:cs="Times New Roman"/>
                <w:color w:val="000000"/>
                <w:sz w:val="24"/>
                <w:highlight w:val="none"/>
                <w:lang w:eastAsia="zh-CN"/>
              </w:rPr>
              <w:t>行</w:t>
            </w:r>
            <w:r>
              <w:rPr>
                <w:rFonts w:hint="default" w:ascii="Times New Roman" w:hAnsi="Times New Roman" w:eastAsia="宋体" w:cs="Times New Roman"/>
                <w:color w:val="000000"/>
                <w:sz w:val="24"/>
                <w:highlight w:val="none"/>
              </w:rPr>
              <w:t>烘干，该工序使用蒸汽间接加热，来自</w:t>
            </w:r>
            <w:r>
              <w:rPr>
                <w:rFonts w:hint="default" w:ascii="Times New Roman" w:hAnsi="Times New Roman" w:eastAsia="宋体" w:cs="Times New Roman"/>
                <w:color w:val="000000"/>
                <w:sz w:val="24"/>
                <w:highlight w:val="none"/>
                <w:lang w:eastAsia="zh-CN"/>
              </w:rPr>
              <w:t>外部接入</w:t>
            </w:r>
            <w:r>
              <w:rPr>
                <w:rFonts w:hint="default" w:ascii="Times New Roman" w:hAnsi="Times New Roman" w:eastAsia="宋体" w:cs="Times New Roman"/>
                <w:color w:val="000000"/>
                <w:sz w:val="24"/>
                <w:highlight w:val="none"/>
              </w:rPr>
              <w:t>的蒸汽在换热器中循环以加热烘干室的空气，从而间接烘干木材，烘干目的主要是去除木制包装产品的水分，该过程仅产生少量水蒸气，无废气产生。烘干换热器中的蒸汽冷凝水经管道</w:t>
            </w:r>
            <w:r>
              <w:rPr>
                <w:rFonts w:hint="default" w:ascii="Times New Roman" w:hAnsi="Times New Roman" w:eastAsia="宋体" w:cs="Times New Roman"/>
                <w:color w:val="000000"/>
                <w:sz w:val="24"/>
                <w:highlight w:val="none"/>
                <w:lang w:eastAsia="zh-CN"/>
              </w:rPr>
              <w:t>流经项目各个用水点，综合利用，不外排</w:t>
            </w:r>
            <w:r>
              <w:rPr>
                <w:rFonts w:hint="default" w:ascii="Times New Roman" w:hAnsi="Times New Roman" w:eastAsia="宋体" w:cs="Times New Roman"/>
                <w:color w:val="000000"/>
                <w:sz w:val="24"/>
                <w:highlight w:val="none"/>
              </w:rPr>
              <w:t>。烘干完成后对产品进行检验后即为成品。</w:t>
            </w:r>
          </w:p>
          <w:p>
            <w:pPr>
              <w:widowControl w:val="0"/>
              <w:spacing w:line="520" w:lineRule="exact"/>
              <w:ind w:firstLine="480" w:firstLineChars="200"/>
              <w:jc w:val="left"/>
              <w:textAlignment w:val="baseline"/>
              <w:rPr>
                <w:rFonts w:hint="default"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sz w:val="24"/>
                <w:highlight w:val="none"/>
              </w:rPr>
              <w:t>产污环节：木材刨光、钻铣、开孔均产生</w:t>
            </w:r>
            <w:r>
              <w:rPr>
                <w:rFonts w:hint="default" w:ascii="Times New Roman" w:hAnsi="Times New Roman" w:eastAsia="宋体" w:cs="Times New Roman"/>
                <w:color w:val="000000"/>
                <w:sz w:val="24"/>
                <w:highlight w:val="none"/>
                <w:lang w:eastAsia="zh-CN"/>
              </w:rPr>
              <w:t>颗粒物</w:t>
            </w:r>
            <w:r>
              <w:rPr>
                <w:rFonts w:hint="default" w:ascii="Times New Roman" w:hAnsi="Times New Roman" w:eastAsia="宋体" w:cs="Times New Roman"/>
                <w:color w:val="000000"/>
                <w:sz w:val="24"/>
                <w:highlight w:val="none"/>
              </w:rPr>
              <w:t>、固体废物（</w:t>
            </w:r>
            <w:r>
              <w:rPr>
                <w:rFonts w:hint="default" w:ascii="Times New Roman" w:hAnsi="Times New Roman" w:eastAsia="宋体" w:cs="Times New Roman"/>
                <w:color w:val="000000"/>
                <w:sz w:val="24"/>
                <w:highlight w:val="none"/>
                <w:lang w:eastAsia="zh-CN"/>
              </w:rPr>
              <w:t>边角料</w:t>
            </w:r>
            <w:r>
              <w:rPr>
                <w:rFonts w:hint="default" w:ascii="Times New Roman" w:hAnsi="Times New Roman" w:eastAsia="宋体" w:cs="Times New Roman"/>
                <w:color w:val="000000"/>
                <w:sz w:val="24"/>
                <w:highlight w:val="none"/>
              </w:rPr>
              <w:t>、</w:t>
            </w:r>
            <w:r>
              <w:rPr>
                <w:rFonts w:hint="default" w:ascii="Times New Roman" w:hAnsi="Times New Roman" w:eastAsia="宋体" w:cs="Times New Roman"/>
                <w:color w:val="000000"/>
                <w:sz w:val="24"/>
                <w:highlight w:val="none"/>
                <w:lang w:eastAsia="zh-CN"/>
              </w:rPr>
              <w:t>木屑</w:t>
            </w:r>
            <w:r>
              <w:rPr>
                <w:rFonts w:hint="default" w:ascii="Times New Roman" w:hAnsi="Times New Roman" w:eastAsia="宋体" w:cs="Times New Roman"/>
                <w:color w:val="000000"/>
                <w:sz w:val="24"/>
                <w:highlight w:val="none"/>
              </w:rPr>
              <w:t>）及噪声，木材组装过程仅产生噪声</w:t>
            </w:r>
            <w:r>
              <w:rPr>
                <w:rFonts w:hint="default" w:ascii="Times New Roman" w:hAnsi="Times New Roman" w:eastAsia="宋体" w:cs="Times New Roman"/>
                <w:color w:val="000000"/>
                <w:sz w:val="24"/>
                <w:highlight w:val="none"/>
                <w:lang w:eastAsia="zh-CN"/>
              </w:rPr>
              <w:t>。</w:t>
            </w:r>
          </w:p>
          <w:p>
            <w:pPr>
              <w:widowControl w:val="0"/>
              <w:tabs>
                <w:tab w:val="left" w:pos="0"/>
                <w:tab w:val="left" w:pos="1830"/>
              </w:tabs>
              <w:spacing w:line="520" w:lineRule="exact"/>
              <w:ind w:firstLine="480"/>
              <w:jc w:val="both"/>
              <w:rPr>
                <w:rFonts w:hint="default" w:ascii="Times New Roman" w:hAnsi="Times New Roman" w:eastAsia="仿宋" w:cs="Times New Roman"/>
                <w:color w:val="000000"/>
                <w:sz w:val="24"/>
                <w:highlight w:val="none"/>
                <w:lang w:eastAsia="zh-CN"/>
              </w:rPr>
            </w:pPr>
            <w:r>
              <w:rPr>
                <w:rFonts w:hint="default" w:ascii="Times New Roman" w:hAnsi="Times New Roman" w:eastAsia="仿宋" w:cs="Times New Roman"/>
                <w:color w:val="000000"/>
                <w:sz w:val="24"/>
                <w:highlight w:val="none"/>
              </w:rPr>
              <w:t>③</w:t>
            </w:r>
            <w:r>
              <w:rPr>
                <w:rFonts w:hint="default" w:ascii="Times New Roman" w:hAnsi="Times New Roman" w:eastAsia="宋体" w:cs="Times New Roman"/>
                <w:color w:val="000000"/>
                <w:sz w:val="24"/>
                <w:highlight w:val="none"/>
                <w:lang w:eastAsia="zh-CN"/>
              </w:rPr>
              <w:t>烘干室</w:t>
            </w:r>
          </w:p>
          <w:p>
            <w:pPr>
              <w:widowControl w:val="0"/>
              <w:tabs>
                <w:tab w:val="left" w:pos="0"/>
                <w:tab w:val="left" w:pos="1830"/>
              </w:tabs>
              <w:spacing w:line="520" w:lineRule="exact"/>
              <w:ind w:firstLine="480"/>
              <w:jc w:val="both"/>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lang w:eastAsia="zh-CN"/>
              </w:rPr>
              <w:t>带锯车间的初加工木材，一部分用于生产木托盘，一部分用于生产包装木箱，生产包装木箱的初加工木材需首先进行烘干处理后，再进行刨光、钻铣、开孔等工序生产包装木箱，生产木托盘的初加工木材不需要进行烘干处理。木托盘和包装木箱用于内销部分不需要烘干处理，烘干处理的木托盘和包装木箱主要为出口产品</w:t>
            </w:r>
            <w:r>
              <w:rPr>
                <w:rFonts w:hint="default" w:ascii="Times New Roman" w:hAnsi="Times New Roman" w:eastAsia="宋体" w:cs="Times New Roman"/>
                <w:color w:val="000000"/>
                <w:sz w:val="24"/>
                <w:highlight w:val="none"/>
              </w:rPr>
              <w:t>。</w:t>
            </w:r>
          </w:p>
          <w:p>
            <w:pPr>
              <w:keepNext w:val="0"/>
              <w:keepLines w:val="0"/>
              <w:pageBreakBefore w:val="0"/>
              <w:widowControl w:val="0"/>
              <w:kinsoku/>
              <w:wordWrap/>
              <w:overflowPunct/>
              <w:topLinePunct w:val="0"/>
              <w:autoSpaceDE/>
              <w:autoSpaceDN/>
              <w:bidi w:val="0"/>
              <w:adjustRightInd w:val="0"/>
              <w:snapToGrid w:val="0"/>
              <w:spacing w:after="0" w:line="520" w:lineRule="exact"/>
              <w:ind w:firstLine="482" w:firstLineChars="200"/>
              <w:jc w:val="left"/>
              <w:textAlignment w:val="baseline"/>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2、项目主要产污工序</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本项目营运期产生的污染物包括废气、废水、噪声及固体废物。</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（1）废水</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无生产废水，</w:t>
            </w:r>
            <w:r>
              <w:rPr>
                <w:rFonts w:hint="default" w:ascii="Times New Roman" w:hAnsi="Times New Roman" w:eastAsia="宋体" w:cs="Times New Roman"/>
                <w:color w:val="auto"/>
                <w:sz w:val="24"/>
                <w:szCs w:val="24"/>
              </w:rPr>
              <w:t>产生的废水主要为生活污水。</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（2）废气</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本项目生产过程产生的废气主要包括带锯车间锯切产生的</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和</w:t>
            </w:r>
            <w:r>
              <w:rPr>
                <w:rFonts w:hint="default" w:ascii="Times New Roman" w:hAnsi="Times New Roman" w:eastAsia="宋体" w:cs="Times New Roman"/>
                <w:color w:val="auto"/>
                <w:sz w:val="24"/>
                <w:szCs w:val="24"/>
                <w:lang w:eastAsia="zh-CN"/>
              </w:rPr>
              <w:t>制作</w:t>
            </w:r>
            <w:r>
              <w:rPr>
                <w:rFonts w:hint="default" w:ascii="Times New Roman" w:hAnsi="Times New Roman" w:eastAsia="宋体" w:cs="Times New Roman"/>
                <w:color w:val="auto"/>
                <w:sz w:val="24"/>
                <w:szCs w:val="24"/>
              </w:rPr>
              <w:t>车间锯切、刨光、钻铣、开孔等产生的</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（3）噪声</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项目产生的噪声主要由纵锯机、带锯机、轮机、拉锯、刨床、镂铣机、多轴钻等设备产生。</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（4）固废</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本项目在生产过程中产生的固废主要是生活垃圾、木材加工产生的木屑、边角料</w:t>
            </w:r>
            <w:r>
              <w:rPr>
                <w:rFonts w:hint="default" w:ascii="Times New Roman" w:hAnsi="Times New Roman" w:eastAsia="宋体" w:cs="Times New Roman"/>
                <w:color w:val="auto"/>
                <w:sz w:val="24"/>
                <w:szCs w:val="24"/>
                <w:lang w:eastAsia="zh-CN"/>
              </w:rPr>
              <w:t>、废钉、</w:t>
            </w:r>
            <w:r>
              <w:rPr>
                <w:rFonts w:hint="default" w:ascii="Times New Roman" w:hAnsi="Times New Roman" w:eastAsia="宋体" w:cs="Times New Roman"/>
                <w:color w:val="auto"/>
                <w:sz w:val="24"/>
                <w:szCs w:val="24"/>
              </w:rPr>
              <w:t>布袋除尘器收尘</w:t>
            </w:r>
            <w:r>
              <w:rPr>
                <w:rFonts w:hint="default" w:ascii="Times New Roman" w:hAnsi="Times New Roman" w:eastAsia="宋体" w:cs="Times New Roman"/>
                <w:color w:val="auto"/>
                <w:sz w:val="24"/>
                <w:szCs w:val="24"/>
                <w:lang w:eastAsia="zh-CN"/>
              </w:rPr>
              <w:t>、废润滑油</w:t>
            </w:r>
            <w:r>
              <w:rPr>
                <w:rFonts w:hint="default" w:ascii="Times New Roman" w:hAnsi="Times New Roman" w:eastAsia="宋体" w:cs="Times New Roman"/>
                <w:color w:val="auto"/>
                <w:sz w:val="24"/>
                <w:szCs w:val="24"/>
              </w:rPr>
              <w:t>。</w:t>
            </w:r>
          </w:p>
          <w:p>
            <w:pPr>
              <w:widowControl w:val="0"/>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2.4项目变动情况</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验收监测期间经现场调查，本项目实际内容与环评及批复内容变动情况如下：</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1、性质：本项目实际建设性质未发生变化。</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2、生产规模：本项目实际生产未发生变化。</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3、生产地点：</w:t>
            </w:r>
            <w:r>
              <w:rPr>
                <w:rFonts w:hint="default"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项目生产地点未发生变化。</w:t>
            </w:r>
          </w:p>
          <w:p>
            <w:pPr>
              <w:widowControl w:val="0"/>
              <w:spacing w:after="0" w:line="5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4、生产工艺：本项目实际生产工艺未发生变化。</w:t>
            </w:r>
          </w:p>
          <w:p>
            <w:pPr>
              <w:widowControl w:val="0"/>
              <w:spacing w:after="0" w:line="56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5、环境保护措</w:t>
            </w:r>
            <w:r>
              <w:rPr>
                <w:rFonts w:hint="default" w:ascii="Times New Roman" w:hAnsi="Times New Roman" w:eastAsia="宋体" w:cs="Times New Roman"/>
                <w:color w:val="auto"/>
                <w:sz w:val="24"/>
                <w:szCs w:val="24"/>
                <w:highlight w:val="none"/>
              </w:rPr>
              <w:t>施：本项目实际</w:t>
            </w:r>
            <w:r>
              <w:rPr>
                <w:rFonts w:hint="default" w:ascii="Times New Roman" w:hAnsi="Times New Roman" w:eastAsia="宋体" w:cs="Times New Roman"/>
                <w:color w:val="auto"/>
                <w:sz w:val="24"/>
                <w:szCs w:val="24"/>
              </w:rPr>
              <w:t>环境保护措</w:t>
            </w:r>
            <w:r>
              <w:rPr>
                <w:rFonts w:hint="default" w:ascii="Times New Roman" w:hAnsi="Times New Roman" w:eastAsia="宋体" w:cs="Times New Roman"/>
                <w:color w:val="auto"/>
                <w:sz w:val="24"/>
                <w:szCs w:val="24"/>
                <w:highlight w:val="none"/>
              </w:rPr>
              <w:t>施未发生变化</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建设项目环境保护设施存在下列情形之一的，建设单位不得提出验收合格的意见：</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 xml:space="preserve">未按环境影响报告书（表）及其审批部门审批决定要求建成环境保护设施，或者环境保护设施不能与主体工程同时投产或者使用的； </w:t>
                  </w:r>
                </w:p>
              </w:tc>
              <w:tc>
                <w:tcPr>
                  <w:tcW w:w="4261" w:type="dxa"/>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yellow"/>
                      <w:lang w:val="en-US" w:eastAsia="zh-CN"/>
                    </w:rPr>
                    <w:t>无</w:t>
                  </w:r>
                  <w:r>
                    <w:rPr>
                      <w:rFonts w:hint="default" w:ascii="Times New Roman" w:hAnsi="Times New Roman" w:eastAsia="宋体" w:cs="Times New Roman"/>
                      <w:color w:val="auto"/>
                      <w:sz w:val="21"/>
                      <w:szCs w:val="21"/>
                      <w:highlight w:val="yellow"/>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 xml:space="preserve">污染物排放不符合国家和地方相关标准、环境影响报告书（表）及其审批部门审批决定或者重点污染物排放总量控制指标要求的； </w:t>
                  </w:r>
                </w:p>
              </w:tc>
              <w:tc>
                <w:tcPr>
                  <w:tcW w:w="4261" w:type="dxa"/>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yellow"/>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 xml:space="preserve">环境影响报告书（表）经批准后，该建设项目的性质、规模、地点、采用的生产工艺或者防治污染、防止生态破坏的措施发生重大变动，建设单位未重新报批环境影响报告书（表）或者环境影响报告书（表）未经批准的； </w:t>
                  </w:r>
                </w:p>
              </w:tc>
              <w:tc>
                <w:tcPr>
                  <w:tcW w:w="4261" w:type="dxa"/>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yellow"/>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建设过程中造成重大环境污染未治理完成，或者造成重大生态破坏未恢复的；</w:t>
                  </w:r>
                </w:p>
              </w:tc>
              <w:tc>
                <w:tcPr>
                  <w:tcW w:w="4261" w:type="dxa"/>
                  <w:vAlign w:val="top"/>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yellow"/>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 xml:space="preserve">纳入排污许可管理的建设项目，无证排污或者不按证排污的； </w:t>
                  </w:r>
                </w:p>
              </w:tc>
              <w:tc>
                <w:tcPr>
                  <w:tcW w:w="4261" w:type="dxa"/>
                  <w:vAlign w:val="top"/>
                </w:tcPr>
                <w:p>
                  <w:pPr>
                    <w:widowControl w:val="0"/>
                    <w:spacing w:after="0" w:line="560" w:lineRule="exact"/>
                    <w:jc w:val="left"/>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yellow"/>
                      <w:lang w:val="en-US" w:eastAsia="zh-CN"/>
                    </w:rPr>
                    <w:t>固定污染源排污登记编号：913700007058303114019Z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分期建设、分期投入生产或者使用依法应当分期验收的建设项目，其分期建设、分期投入生产或者使用的环境保护设施防治环境污染和生态破坏的能力不能满足其相应主体工程需要的；</w:t>
                  </w:r>
                </w:p>
              </w:tc>
              <w:tc>
                <w:tcPr>
                  <w:tcW w:w="4261" w:type="dxa"/>
                  <w:vAlign w:val="top"/>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yellow"/>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 xml:space="preserve">建设单位因该建设项目违反国家和地方环境保护法律法规受到处罚，被责令改正，尚未改正完成的； </w:t>
                  </w:r>
                </w:p>
              </w:tc>
              <w:tc>
                <w:tcPr>
                  <w:tcW w:w="4261" w:type="dxa"/>
                  <w:vAlign w:val="top"/>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yellow"/>
                      <w:lang w:val="en-US" w:eastAsia="zh-CN"/>
                    </w:rPr>
                    <w:t>无</w:t>
                  </w:r>
                  <w:r>
                    <w:rPr>
                      <w:rFonts w:hint="default" w:ascii="Times New Roman" w:hAnsi="Times New Roman" w:eastAsia="宋体" w:cs="Times New Roman"/>
                      <w:color w:val="auto"/>
                      <w:sz w:val="21"/>
                      <w:szCs w:val="21"/>
                      <w:highlight w:val="yellow"/>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验收报告的基础资料数据明显不实，内容存在重大缺项</w:t>
                  </w:r>
                  <w:r>
                    <w:rPr>
                      <w:rFonts w:hint="eastAsia" w:ascii="Times New Roman" w:hAnsi="Times New Roman" w:eastAsia="宋体" w:cs="Times New Roman"/>
                      <w:color w:val="auto"/>
                      <w:sz w:val="21"/>
                      <w:szCs w:val="21"/>
                      <w:highlight w:val="yellow"/>
                      <w:lang w:val="en-US" w:eastAsia="zh-CN"/>
                    </w:rPr>
                    <w:t>、</w:t>
                  </w:r>
                  <w:r>
                    <w:rPr>
                      <w:rFonts w:hint="default" w:ascii="Times New Roman" w:hAnsi="Times New Roman" w:eastAsia="宋体" w:cs="Times New Roman"/>
                      <w:color w:val="auto"/>
                      <w:sz w:val="21"/>
                      <w:szCs w:val="21"/>
                      <w:highlight w:val="yellow"/>
                      <w:lang w:val="en-US" w:eastAsia="zh-CN"/>
                    </w:rPr>
                    <w:t>遗漏，或者验收结论不明确、不合理的；</w:t>
                  </w:r>
                </w:p>
              </w:tc>
              <w:tc>
                <w:tcPr>
                  <w:tcW w:w="4261" w:type="dxa"/>
                  <w:vAlign w:val="top"/>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yellow"/>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 xml:space="preserve">其他环境保护法律法规规章等规定不得通过环境保护验收的。 </w:t>
                  </w:r>
                </w:p>
              </w:tc>
              <w:tc>
                <w:tcPr>
                  <w:tcW w:w="4261" w:type="dxa"/>
                  <w:vAlign w:val="top"/>
                </w:tcPr>
                <w:p>
                  <w:pPr>
                    <w:widowControl w:val="0"/>
                    <w:spacing w:after="0" w:line="560" w:lineRule="exact"/>
                    <w:ind w:firstLine="420" w:firstLineChars="200"/>
                    <w:jc w:val="left"/>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yellow"/>
                      <w:lang w:val="en-US" w:eastAsia="zh-CN"/>
                    </w:rPr>
                    <w:t>无</w:t>
                  </w:r>
                  <w:r>
                    <w:rPr>
                      <w:rFonts w:hint="default" w:ascii="Times New Roman" w:hAnsi="Times New Roman" w:eastAsia="宋体" w:cs="Times New Roman"/>
                      <w:color w:val="auto"/>
                      <w:sz w:val="21"/>
                      <w:szCs w:val="21"/>
                      <w:highlight w:val="yellow"/>
                      <w:lang w:val="en-US" w:eastAsia="zh-CN"/>
                    </w:rPr>
                    <w:t xml:space="preserve"> </w:t>
                  </w:r>
                </w:p>
              </w:tc>
            </w:tr>
          </w:tbl>
          <w:p>
            <w:pPr>
              <w:widowControl w:val="0"/>
              <w:spacing w:after="0" w:line="560" w:lineRule="exact"/>
              <w:ind w:firstLine="480" w:firstLineChars="200"/>
              <w:jc w:val="both"/>
              <w:rPr>
                <w:rFonts w:hint="default" w:ascii="Times New Roman" w:hAnsi="Times New Roman" w:eastAsia="宋体" w:cs="Times New Roman"/>
                <w:color w:val="0000FF"/>
                <w:sz w:val="24"/>
                <w:szCs w:val="24"/>
              </w:rPr>
            </w:pPr>
          </w:p>
        </w:tc>
      </w:tr>
    </w:tbl>
    <w:p>
      <w:pPr>
        <w:pStyle w:val="2"/>
        <w:ind w:left="0" w:leftChars="0" w:firstLine="0" w:firstLineChars="0"/>
        <w:rPr>
          <w:rFonts w:hint="default" w:ascii="Times New Roman" w:hAnsi="Times New Roman" w:eastAsia="宋体" w:cs="Times New Roman"/>
          <w:color w:val="0000FF"/>
        </w:rPr>
        <w:sectPr>
          <w:footerReference r:id="rId5" w:type="default"/>
          <w:pgSz w:w="11906" w:h="16838"/>
          <w:pgMar w:top="1440" w:right="1644" w:bottom="1440" w:left="1644"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after="0"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表三</w:t>
      </w:r>
    </w:p>
    <w:tbl>
      <w:tblPr>
        <w:tblStyle w:val="24"/>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5" w:hRule="atLeast"/>
        </w:trPr>
        <w:tc>
          <w:tcPr>
            <w:tcW w:w="8834" w:type="dxa"/>
          </w:tcPr>
          <w:p>
            <w:pPr>
              <w:widowControl/>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3.1主要污染源、污染物处理和排放</w:t>
            </w:r>
          </w:p>
          <w:p>
            <w:pPr>
              <w:widowControl w:val="0"/>
              <w:spacing w:after="0" w:line="5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3.1.1废气</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本项目生产过程产生的废气主要包括带锯车间下料锯切产生的颗粒物和制作车间锯切、刨光、钻铣、开孔等产生的颗粒物。</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w:t>
            </w:r>
            <w:r>
              <w:rPr>
                <w:rFonts w:hint="default" w:ascii="Times New Roman" w:hAnsi="Times New Roman" w:eastAsia="宋体" w:cs="Times New Roman"/>
                <w:color w:val="auto"/>
                <w:sz w:val="24"/>
                <w:lang w:val="en-US" w:eastAsia="zh-CN"/>
              </w:rPr>
              <w:t>带锯车间锯切下料等</w:t>
            </w:r>
            <w:r>
              <w:rPr>
                <w:rFonts w:hint="default" w:ascii="Times New Roman" w:hAnsi="Times New Roman" w:eastAsia="宋体" w:cs="Times New Roman"/>
                <w:color w:val="auto"/>
                <w:sz w:val="24"/>
                <w:lang w:eastAsia="zh-CN"/>
              </w:rPr>
              <w:t>过程中会产生颗粒物。企业在带锯上方设置集气罩，收集的废气经过布袋式除尘器处理后通过15m高排气筒DA001排放；</w:t>
            </w:r>
            <w:r>
              <w:rPr>
                <w:rFonts w:hint="default" w:ascii="Times New Roman" w:hAnsi="Times New Roman" w:eastAsia="宋体" w:cs="Times New Roman"/>
                <w:color w:val="auto"/>
                <w:sz w:val="24"/>
                <w:lang w:val="en-US" w:eastAsia="zh-CN"/>
              </w:rPr>
              <w:t>制作车间锯切、刨光、钻铣、开孔等</w:t>
            </w:r>
            <w:r>
              <w:rPr>
                <w:rFonts w:hint="default" w:ascii="Times New Roman" w:hAnsi="Times New Roman" w:eastAsia="宋体" w:cs="Times New Roman"/>
                <w:color w:val="auto"/>
                <w:sz w:val="24"/>
                <w:lang w:eastAsia="zh-CN"/>
              </w:rPr>
              <w:t>过程中会产生颗粒物。企业在推台锯等上方设置集气罩，收集的废气经过布袋式除尘器处理后通过15m高排气筒DA00</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排放。</w:t>
            </w:r>
          </w:p>
          <w:p>
            <w:pPr>
              <w:pStyle w:val="11"/>
              <w:keepNext w:val="0"/>
              <w:keepLines w:val="0"/>
              <w:pageBreakBefore w:val="0"/>
              <w:widowControl w:val="0"/>
              <w:kinsoku/>
              <w:wordWrap/>
              <w:overflowPunct/>
              <w:topLinePunct w:val="0"/>
              <w:autoSpaceDE/>
              <w:autoSpaceDN/>
              <w:bidi w:val="0"/>
              <w:adjustRightInd w:val="0"/>
              <w:snapToGrid w:val="0"/>
              <w:spacing w:after="0" w:line="520" w:lineRule="exact"/>
              <w:jc w:val="both"/>
              <w:textAlignment w:val="auto"/>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3.1.2废水</w:t>
            </w:r>
          </w:p>
          <w:p>
            <w:pPr>
              <w:keepNext w:val="0"/>
              <w:keepLines w:val="0"/>
              <w:pageBreakBefore w:val="0"/>
              <w:widowControl w:val="0"/>
              <w:kinsoku/>
              <w:wordWrap/>
              <w:overflowPunct/>
              <w:topLinePunct w:val="0"/>
              <w:autoSpaceDE/>
              <w:autoSpaceDN/>
              <w:bidi w:val="0"/>
              <w:snapToGrid w:val="0"/>
              <w:spacing w:after="0" w:line="56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无生产废水产生，本项目使用蒸汽烘干木材和冬季供暖，蒸汽使用量为6304t/a，蒸汽使用过程中，部分（20%）损耗，则损耗量为1260.8t/a，部分（80%）变为蒸汽冷凝水，即为5043.2t/a，蒸汽冷凝水用于生活用水、锯头冷却用水、厂区洒水降尘用水、消防水池补充水，不外排。锯头冷却用水、厂区洒水降尘用水蒸发损耗，不外排，本项目废水主要为生活污水。生活污水排放量为864t/a，主要污染物为COD、氨氮和总氮等，经化粪池预处理后，COD、氨氮、总氮排放浓度分别为350mg/L、35mg/L、45mg/L，则COD、氨氮、总氮排放量分别为0.302t/a、0.030t/a、0.039t/a，满足《污水排入城镇下水道水质标准》（GB/T31962-2015）表1中 B等级标准的要求，经市政污水管网，排入世纪花园污水处理厂处理后最终排入泳汶河污水处理厂。</w:t>
            </w:r>
          </w:p>
          <w:p>
            <w:pPr>
              <w:keepNext w:val="0"/>
              <w:keepLines w:val="0"/>
              <w:pageBreakBefore w:val="0"/>
              <w:widowControl w:val="0"/>
              <w:kinsoku/>
              <w:wordWrap/>
              <w:overflowPunct/>
              <w:topLinePunct w:val="0"/>
              <w:autoSpaceDE/>
              <w:autoSpaceDN/>
              <w:bidi w:val="0"/>
              <w:snapToGrid w:val="0"/>
              <w:spacing w:after="0" w:line="560" w:lineRule="exact"/>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3.1.3噪声</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项目噪声主要为</w:t>
            </w:r>
            <w:r>
              <w:rPr>
                <w:rFonts w:hint="eastAsia" w:ascii="Times New Roman" w:hAnsi="Times New Roman" w:eastAsia="宋体" w:cs="Times New Roman"/>
                <w:color w:val="auto"/>
                <w:sz w:val="24"/>
                <w:szCs w:val="24"/>
                <w:lang w:val="en-US" w:eastAsia="zh-CN"/>
              </w:rPr>
              <w:t>纵锯机、带锯机、轮机、拉锯、刨床、镂铣机、多轴钻</w:t>
            </w:r>
            <w:r>
              <w:rPr>
                <w:rFonts w:hint="default" w:ascii="Times New Roman" w:hAnsi="Times New Roman" w:eastAsia="宋体" w:cs="Times New Roman"/>
                <w:color w:val="auto"/>
                <w:sz w:val="24"/>
                <w:szCs w:val="24"/>
              </w:rPr>
              <w:t>等设备运转时产生的噪声。</w:t>
            </w:r>
          </w:p>
          <w:p>
            <w:pPr>
              <w:widowControl w:val="0"/>
              <w:spacing w:after="0" w:line="5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.1.4固体废物</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本项目在生产过程中产生的固废主要是生活垃圾、一般固体废物和危险固体废物。一般固废为布袋除尘器收尘</w:t>
            </w:r>
            <w:r>
              <w:rPr>
                <w:rFonts w:hint="default" w:ascii="Times New Roman" w:hAnsi="Times New Roman" w:eastAsia="宋体" w:cs="Times New Roman"/>
                <w:color w:val="auto"/>
                <w:sz w:val="24"/>
                <w:szCs w:val="24"/>
                <w:lang w:eastAsia="zh-CN"/>
              </w:rPr>
              <w:t>、木屑、边角料、废钉</w:t>
            </w:r>
            <w:r>
              <w:rPr>
                <w:rFonts w:hint="default" w:ascii="Times New Roman" w:hAnsi="Times New Roman" w:eastAsia="宋体" w:cs="Times New Roman"/>
                <w:color w:val="auto"/>
                <w:sz w:val="24"/>
                <w:szCs w:val="24"/>
              </w:rPr>
              <w:t>；危险废物为</w:t>
            </w:r>
            <w:r>
              <w:rPr>
                <w:rFonts w:hint="default" w:ascii="Times New Roman" w:hAnsi="Times New Roman" w:eastAsia="宋体" w:cs="Times New Roman"/>
                <w:color w:val="auto"/>
                <w:sz w:val="24"/>
                <w:szCs w:val="24"/>
                <w:lang w:eastAsia="zh-CN"/>
              </w:rPr>
              <w:t>设备润滑检修过程产生的废润滑油</w:t>
            </w:r>
            <w:r>
              <w:rPr>
                <w:rFonts w:hint="default"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（1）生活垃圾</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本项目生活垃圾日产生量</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0kg/d，年产生量</w:t>
            </w:r>
            <w:r>
              <w:rPr>
                <w:rFonts w:hint="default"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rPr>
              <w:t>t/a。生活垃圾以垃圾箱收集为主，垃圾箱密封无渗漏，实行分类收集，由环卫部门统一按时清运。</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eastAsia="zh-CN"/>
              </w:rPr>
              <w:t>一般工业固废</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①布袋除尘器收尘</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根据有组织废气计算结果，布袋除尘器收尘量为</w:t>
            </w:r>
            <w:r>
              <w:rPr>
                <w:rFonts w:hint="default" w:ascii="Times New Roman" w:hAnsi="Times New Roman" w:eastAsia="宋体" w:cs="Times New Roman"/>
                <w:color w:val="auto"/>
                <w:sz w:val="24"/>
                <w:szCs w:val="24"/>
                <w:lang w:val="en-US" w:eastAsia="zh-CN"/>
              </w:rPr>
              <w:t>6.378</w:t>
            </w:r>
            <w:r>
              <w:rPr>
                <w:rFonts w:hint="default" w:ascii="Times New Roman" w:hAnsi="Times New Roman" w:eastAsia="宋体" w:cs="Times New Roman"/>
                <w:color w:val="auto"/>
                <w:sz w:val="24"/>
                <w:szCs w:val="24"/>
              </w:rPr>
              <w:t>t/a，收集后</w:t>
            </w:r>
            <w:r>
              <w:rPr>
                <w:rFonts w:hint="default" w:ascii="Times New Roman" w:hAnsi="Times New Roman" w:eastAsia="宋体" w:cs="Times New Roman"/>
                <w:color w:val="auto"/>
                <w:sz w:val="24"/>
                <w:szCs w:val="24"/>
                <w:lang w:eastAsia="zh-CN"/>
              </w:rPr>
              <w:t>外售至物资回收部门综合利用</w:t>
            </w:r>
            <w:r>
              <w:rPr>
                <w:rFonts w:hint="default"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lang w:eastAsia="zh-CN"/>
              </w:rPr>
              <w:t>木屑、边角料</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木加工过程产生木屑和边角料</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木屑和边角料产生</w:t>
            </w:r>
            <w:r>
              <w:rPr>
                <w:rFonts w:hint="default" w:ascii="Times New Roman" w:hAnsi="Times New Roman" w:eastAsia="宋体" w:cs="Times New Roman"/>
                <w:color w:val="auto"/>
                <w:sz w:val="24"/>
                <w:szCs w:val="24"/>
              </w:rPr>
              <w:t>量为</w:t>
            </w:r>
            <w:r>
              <w:rPr>
                <w:rFonts w:hint="default" w:ascii="Times New Roman" w:hAnsi="Times New Roman" w:eastAsia="宋体" w:cs="Times New Roman"/>
                <w:color w:val="auto"/>
                <w:sz w:val="24"/>
                <w:szCs w:val="24"/>
                <w:lang w:val="en-US" w:eastAsia="zh-CN"/>
              </w:rPr>
              <w:t>5400</w:t>
            </w:r>
            <w:r>
              <w:rPr>
                <w:rFonts w:hint="default" w:ascii="Times New Roman" w:hAnsi="Times New Roman" w:eastAsia="宋体" w:cs="Times New Roman"/>
                <w:color w:val="auto"/>
                <w:sz w:val="24"/>
                <w:szCs w:val="24"/>
              </w:rPr>
              <w:t>t/a，收集后</w:t>
            </w:r>
            <w:r>
              <w:rPr>
                <w:rFonts w:hint="default" w:ascii="Times New Roman" w:hAnsi="Times New Roman" w:eastAsia="宋体" w:cs="Times New Roman"/>
                <w:color w:val="auto"/>
                <w:sz w:val="24"/>
                <w:szCs w:val="24"/>
                <w:lang w:eastAsia="zh-CN"/>
              </w:rPr>
              <w:t>外售至物资回收部门综合利用</w:t>
            </w:r>
            <w:r>
              <w:rPr>
                <w:rFonts w:hint="default"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sz w:val="24"/>
                <w:szCs w:val="24"/>
                <w:lang w:eastAsia="zh-CN"/>
              </w:rPr>
              <w:t>废钉</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项目组装过程中会产生废钉</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废钉产生</w:t>
            </w:r>
            <w:r>
              <w:rPr>
                <w:rFonts w:hint="default" w:ascii="Times New Roman" w:hAnsi="Times New Roman" w:eastAsia="宋体" w:cs="Times New Roman"/>
                <w:color w:val="auto"/>
                <w:sz w:val="24"/>
                <w:szCs w:val="24"/>
              </w:rPr>
              <w:t>量</w:t>
            </w:r>
            <w:r>
              <w:rPr>
                <w:rFonts w:hint="default" w:ascii="Times New Roman" w:hAnsi="Times New Roman" w:eastAsia="宋体" w:cs="Times New Roman"/>
                <w:color w:val="auto"/>
                <w:sz w:val="24"/>
                <w:szCs w:val="24"/>
                <w:lang w:eastAsia="zh-CN"/>
              </w:rPr>
              <w:t>约</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0.01</w:t>
            </w:r>
            <w:r>
              <w:rPr>
                <w:rFonts w:hint="default" w:ascii="Times New Roman" w:hAnsi="Times New Roman" w:eastAsia="宋体" w:cs="Times New Roman"/>
                <w:color w:val="auto"/>
                <w:sz w:val="24"/>
                <w:szCs w:val="24"/>
              </w:rPr>
              <w:t>t/a，收集后</w:t>
            </w:r>
            <w:r>
              <w:rPr>
                <w:rFonts w:hint="default" w:ascii="Times New Roman" w:hAnsi="Times New Roman" w:eastAsia="宋体" w:cs="Times New Roman"/>
                <w:color w:val="auto"/>
                <w:sz w:val="24"/>
                <w:szCs w:val="24"/>
                <w:lang w:eastAsia="zh-CN"/>
              </w:rPr>
              <w:t>外售至物资回收部门综合利用</w:t>
            </w:r>
            <w:r>
              <w:rPr>
                <w:rFonts w:hint="default"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废润滑油</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yellow"/>
                <w:lang w:val="en-US" w:eastAsia="zh-CN"/>
              </w:rPr>
              <w:t>本项目试运行阶段暂时未产生废润滑油，若今后运行过程产生，属于《国家危险废物名录》中“HW08 废矿物油与含矿物油废物 ”“</w:t>
            </w:r>
            <w:r>
              <w:rPr>
                <w:rFonts w:hint="default" w:ascii="Times New Roman" w:hAnsi="Times New Roman" w:eastAsia="宋体" w:cs="Times New Roman"/>
                <w:color w:val="auto"/>
                <w:sz w:val="24"/>
                <w:szCs w:val="24"/>
                <w:highlight w:val="yellow"/>
              </w:rPr>
              <w:t>900-</w:t>
            </w:r>
            <w:r>
              <w:rPr>
                <w:rFonts w:hint="default" w:ascii="Times New Roman" w:hAnsi="Times New Roman" w:eastAsia="宋体" w:cs="Times New Roman"/>
                <w:color w:val="auto"/>
                <w:sz w:val="24"/>
                <w:szCs w:val="24"/>
                <w:highlight w:val="yellow"/>
                <w:lang w:val="en-US" w:eastAsia="zh-CN"/>
              </w:rPr>
              <w:t>214</w:t>
            </w:r>
            <w:r>
              <w:rPr>
                <w:rFonts w:hint="default" w:ascii="Times New Roman" w:hAnsi="Times New Roman" w:eastAsia="宋体" w:cs="Times New Roman"/>
                <w:color w:val="auto"/>
                <w:sz w:val="24"/>
                <w:szCs w:val="24"/>
                <w:highlight w:val="yellow"/>
              </w:rPr>
              <w:t>-</w:t>
            </w:r>
            <w:r>
              <w:rPr>
                <w:rFonts w:hint="default" w:ascii="Times New Roman" w:hAnsi="Times New Roman" w:eastAsia="宋体" w:cs="Times New Roman"/>
                <w:color w:val="auto"/>
                <w:sz w:val="24"/>
                <w:szCs w:val="24"/>
                <w:highlight w:val="yellow"/>
                <w:lang w:val="en-US" w:eastAsia="zh-CN"/>
              </w:rPr>
              <w:t>08车辆、轮船及其它机械维修过程中产生的废发动机油、制动器油、自动变速器油、齿轮油等废润滑油”，使用完毕后，暂存于危废暂存间内，委托周边有资质单位处理。</w:t>
            </w:r>
          </w:p>
          <w:p>
            <w:pPr>
              <w:widowControl w:val="0"/>
              <w:spacing w:after="0" w:line="5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3.2环境风险防范设施</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在发生事故时，应急小组积极开展应急救援工作。通过平时的演习、训练，完善事故应急预案。主要职责如下：</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（1）主要负责事故现场调查取证，调查分析主要污染物种类污染程度和范围，对周边生态环境影响；</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（2）承担与当地区域或各职能管理部门的应急指挥机构的联系工作，及时将事故发生情况及最新进展向有关部门汇报，并将上级指挥机构的命令及时向应急指挥小组汇报；</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（3）进行环境污染事故经济损失评估，并对应急预案进行及时总结，协助领导小组完成事故应急预案的修改或完善工作。</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（4）负责编制环境污染事故报告，并将事故报告向上级部门汇报。</w:t>
            </w:r>
          </w:p>
          <w:p>
            <w:pPr>
              <w:widowControl w:val="0"/>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3.3环境保护设施投资及“三同时”落实情况</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项目总投资为</w:t>
            </w:r>
            <w:r>
              <w:rPr>
                <w:rFonts w:hint="eastAsia" w:ascii="Times New Roman" w:hAnsi="Times New Roman" w:eastAsia="宋体" w:cs="Times New Roman"/>
                <w:b w:val="0"/>
                <w:bCs/>
                <w:color w:val="auto"/>
                <w:sz w:val="24"/>
                <w:highlight w:val="none"/>
                <w:lang w:val="en-US" w:eastAsia="zh-CN"/>
              </w:rPr>
              <w:t>720万元</w:t>
            </w:r>
            <w:r>
              <w:rPr>
                <w:rFonts w:hint="default" w:ascii="Times New Roman" w:hAnsi="Times New Roman" w:eastAsia="宋体" w:cs="Times New Roman"/>
                <w:color w:val="auto"/>
                <w:sz w:val="24"/>
                <w:szCs w:val="24"/>
              </w:rPr>
              <w:t>，环保投资</w:t>
            </w:r>
            <w:r>
              <w:rPr>
                <w:rFonts w:hint="eastAsia" w:ascii="Times New Roman" w:hAnsi="Times New Roman" w:eastAsia="宋体" w:cs="Times New Roman"/>
                <w:color w:val="auto"/>
                <w:sz w:val="24"/>
                <w:szCs w:val="24"/>
                <w:lang w:val="en-US" w:eastAsia="zh-CN"/>
              </w:rPr>
              <w:t>60万元</w:t>
            </w:r>
            <w:r>
              <w:rPr>
                <w:rFonts w:hint="default" w:ascii="Times New Roman" w:hAnsi="Times New Roman" w:eastAsia="宋体" w:cs="Times New Roman"/>
                <w:color w:val="auto"/>
                <w:sz w:val="24"/>
                <w:szCs w:val="24"/>
              </w:rPr>
              <w:t>。占总投资的</w:t>
            </w:r>
            <w:r>
              <w:rPr>
                <w:rFonts w:hint="eastAsia" w:ascii="Times New Roman" w:hAnsi="Times New Roman" w:eastAsia="宋体" w:cs="Times New Roman"/>
                <w:color w:val="auto"/>
                <w:sz w:val="24"/>
                <w:szCs w:val="24"/>
                <w:lang w:val="en-US" w:eastAsia="zh-CN"/>
              </w:rPr>
              <w:t>8.3%</w:t>
            </w:r>
            <w:r>
              <w:rPr>
                <w:rFonts w:hint="default" w:ascii="Times New Roman" w:hAnsi="Times New Roman" w:eastAsia="宋体" w:cs="Times New Roman"/>
                <w:color w:val="auto"/>
                <w:sz w:val="24"/>
                <w:szCs w:val="24"/>
              </w:rPr>
              <w:t>。环保投资情况见下表。</w:t>
            </w:r>
          </w:p>
          <w:p>
            <w:pPr>
              <w:widowControl w:val="0"/>
              <w:spacing w:after="0" w:line="560" w:lineRule="exact"/>
              <w:ind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表3-1 本项目环境保护投资一览表</w:t>
            </w:r>
          </w:p>
          <w:tbl>
            <w:tblPr>
              <w:tblStyle w:val="23"/>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2333"/>
              <w:gridCol w:w="1155"/>
              <w:gridCol w:w="2385"/>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vMerge w:val="restart"/>
                  <w:vAlign w:val="center"/>
                </w:tcPr>
                <w:p>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3488" w:type="dxa"/>
                  <w:gridSpan w:val="2"/>
                  <w:vAlign w:val="center"/>
                </w:tcPr>
                <w:p>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环评阶段</w:t>
                  </w:r>
                </w:p>
              </w:tc>
              <w:tc>
                <w:tcPr>
                  <w:tcW w:w="3846" w:type="dxa"/>
                  <w:gridSpan w:val="2"/>
                  <w:vAlign w:val="center"/>
                </w:tcPr>
                <w:p>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验收阶段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vMerge w:val="continue"/>
                  <w:vAlign w:val="center"/>
                </w:tcPr>
                <w:p>
                  <w:pPr>
                    <w:spacing w:after="0"/>
                    <w:jc w:val="center"/>
                    <w:rPr>
                      <w:rFonts w:hint="default" w:ascii="Times New Roman" w:hAnsi="Times New Roman" w:eastAsia="宋体" w:cs="Times New Roman"/>
                      <w:b/>
                      <w:bCs/>
                      <w:color w:val="auto"/>
                      <w:sz w:val="21"/>
                      <w:szCs w:val="21"/>
                    </w:rPr>
                  </w:pPr>
                </w:p>
              </w:tc>
              <w:tc>
                <w:tcPr>
                  <w:tcW w:w="2333" w:type="dxa"/>
                  <w:vAlign w:val="center"/>
                </w:tcPr>
                <w:p>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环保建设规模</w:t>
                  </w:r>
                </w:p>
              </w:tc>
              <w:tc>
                <w:tcPr>
                  <w:tcW w:w="1155" w:type="dxa"/>
                  <w:vAlign w:val="center"/>
                </w:tcPr>
                <w:p>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实际投资</w:t>
                  </w:r>
                </w:p>
                <w:p>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（万元）</w:t>
                  </w:r>
                </w:p>
              </w:tc>
              <w:tc>
                <w:tcPr>
                  <w:tcW w:w="2385" w:type="dxa"/>
                  <w:vAlign w:val="center"/>
                </w:tcPr>
                <w:p>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环保建设规模</w:t>
                  </w:r>
                </w:p>
              </w:tc>
              <w:tc>
                <w:tcPr>
                  <w:tcW w:w="1461" w:type="dxa"/>
                  <w:vAlign w:val="center"/>
                </w:tcPr>
                <w:p>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实际投资</w:t>
                  </w:r>
                </w:p>
                <w:p>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vAlign w:val="center"/>
                </w:tcPr>
                <w:p>
                  <w:pPr>
                    <w:pStyle w:val="11"/>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2333" w:type="dxa"/>
                  <w:vAlign w:val="center"/>
                </w:tcPr>
                <w:p>
                  <w:pPr>
                    <w:pStyle w:val="53"/>
                    <w:keepNext w:val="0"/>
                    <w:keepLines w:val="0"/>
                    <w:pageBreakBefore w:val="0"/>
                    <w:widowControl/>
                    <w:kinsoku/>
                    <w:wordWrap/>
                    <w:overflowPunct w:val="0"/>
                    <w:topLinePunct w:val="0"/>
                    <w:autoSpaceDE/>
                    <w:autoSpaceDN/>
                    <w:bidi w:val="0"/>
                    <w:adjustRightInd w:val="0"/>
                    <w:snapToGrid w:val="0"/>
                    <w:spacing w:after="0"/>
                    <w:ind w:firstLine="0" w:firstLineChars="0"/>
                    <w:jc w:val="left"/>
                    <w:textAlignment w:val="auto"/>
                    <w:rPr>
                      <w:rFonts w:hint="default"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布袋除尘器、排气筒</w:t>
                  </w:r>
                </w:p>
              </w:tc>
              <w:tc>
                <w:tcPr>
                  <w:tcW w:w="1155" w:type="dxa"/>
                  <w:vMerge w:val="restart"/>
                  <w:vAlign w:val="center"/>
                </w:tcPr>
                <w:p>
                  <w:pPr>
                    <w:keepNext w:val="0"/>
                    <w:keepLines w:val="0"/>
                    <w:pageBreakBefore w:val="0"/>
                    <w:widowControl/>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2385" w:type="dxa"/>
                  <w:vAlign w:val="center"/>
                </w:tcPr>
                <w:p>
                  <w:pPr>
                    <w:pStyle w:val="53"/>
                    <w:keepNext w:val="0"/>
                    <w:keepLines w:val="0"/>
                    <w:pageBreakBefore w:val="0"/>
                    <w:widowControl/>
                    <w:kinsoku/>
                    <w:wordWrap/>
                    <w:overflowPunct w:val="0"/>
                    <w:topLinePunct w:val="0"/>
                    <w:autoSpaceDE/>
                    <w:autoSpaceDN/>
                    <w:bidi w:val="0"/>
                    <w:adjustRightInd w:val="0"/>
                    <w:snapToGrid w:val="0"/>
                    <w:spacing w:after="0"/>
                    <w:ind w:firstLine="0" w:firstLineChars="0"/>
                    <w:jc w:val="left"/>
                    <w:textAlignment w:val="auto"/>
                    <w:rPr>
                      <w:rFonts w:hint="default"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布袋除尘器、排气筒</w:t>
                  </w:r>
                </w:p>
              </w:tc>
              <w:tc>
                <w:tcPr>
                  <w:tcW w:w="1461" w:type="dxa"/>
                  <w:vMerge w:val="restart"/>
                  <w:vAlign w:val="center"/>
                </w:tcPr>
                <w:p>
                  <w:pPr>
                    <w:keepNext w:val="0"/>
                    <w:keepLines w:val="0"/>
                    <w:pageBreakBefore w:val="0"/>
                    <w:widowControl/>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vAlign w:val="center"/>
                </w:tcPr>
                <w:p>
                  <w:pPr>
                    <w:pStyle w:val="11"/>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2333" w:type="dxa"/>
                  <w:vAlign w:val="center"/>
                </w:tcPr>
                <w:p>
                  <w:pPr>
                    <w:keepNext w:val="0"/>
                    <w:keepLines w:val="0"/>
                    <w:pageBreakBefore w:val="0"/>
                    <w:widowControl/>
                    <w:kinsoku/>
                    <w:wordWrap/>
                    <w:topLinePunct w:val="0"/>
                    <w:autoSpaceDE/>
                    <w:autoSpaceDN/>
                    <w:bidi w:val="0"/>
                    <w:adjustRightInd w:val="0"/>
                    <w:snapToGrid w:val="0"/>
                    <w:spacing w:after="0"/>
                    <w:jc w:val="lef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化粪池</w:t>
                  </w:r>
                </w:p>
              </w:tc>
              <w:tc>
                <w:tcPr>
                  <w:tcW w:w="1155" w:type="dxa"/>
                  <w:vMerge w:val="continue"/>
                  <w:vAlign w:val="center"/>
                </w:tcPr>
                <w:p>
                  <w:pPr>
                    <w:keepNext w:val="0"/>
                    <w:keepLines w:val="0"/>
                    <w:pageBreakBefore w:val="0"/>
                    <w:widowControl/>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p>
              </w:tc>
              <w:tc>
                <w:tcPr>
                  <w:tcW w:w="2385" w:type="dxa"/>
                  <w:vAlign w:val="center"/>
                </w:tcPr>
                <w:p>
                  <w:pPr>
                    <w:keepNext w:val="0"/>
                    <w:keepLines w:val="0"/>
                    <w:pageBreakBefore w:val="0"/>
                    <w:widowControl/>
                    <w:kinsoku/>
                    <w:wordWrap/>
                    <w:topLinePunct w:val="0"/>
                    <w:autoSpaceDE/>
                    <w:autoSpaceDN/>
                    <w:bidi w:val="0"/>
                    <w:adjustRightInd w:val="0"/>
                    <w:snapToGrid w:val="0"/>
                    <w:spacing w:after="0"/>
                    <w:jc w:val="lef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化粪池</w:t>
                  </w:r>
                </w:p>
              </w:tc>
              <w:tc>
                <w:tcPr>
                  <w:tcW w:w="1461" w:type="dxa"/>
                  <w:vMerge w:val="continue"/>
                  <w:vAlign w:val="center"/>
                </w:tcPr>
                <w:p>
                  <w:pPr>
                    <w:keepNext w:val="0"/>
                    <w:keepLines w:val="0"/>
                    <w:pageBreakBefore w:val="0"/>
                    <w:widowControl/>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vAlign w:val="center"/>
                </w:tcPr>
                <w:p>
                  <w:pPr>
                    <w:pStyle w:val="11"/>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2333" w:type="dxa"/>
                  <w:vAlign w:val="center"/>
                </w:tcPr>
                <w:p>
                  <w:pPr>
                    <w:keepNext w:val="0"/>
                    <w:keepLines w:val="0"/>
                    <w:pageBreakBefore w:val="0"/>
                    <w:widowControl/>
                    <w:kinsoku/>
                    <w:wordWrap/>
                    <w:topLinePunct w:val="0"/>
                    <w:autoSpaceDE/>
                    <w:autoSpaceDN/>
                    <w:bidi w:val="0"/>
                    <w:adjustRightInd w:val="0"/>
                    <w:snapToGrid w:val="0"/>
                    <w:spacing w:after="0"/>
                    <w:jc w:val="lef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生活垃圾由垃圾箱收集</w:t>
                  </w:r>
                  <w:r>
                    <w:rPr>
                      <w:rFonts w:hint="eastAsia" w:ascii="Times New Roman" w:hAnsi="Times New Roman" w:eastAsia="宋体" w:cs="Times New Roman"/>
                      <w:color w:val="auto"/>
                      <w:sz w:val="21"/>
                      <w:szCs w:val="21"/>
                      <w:lang w:val="en-US" w:eastAsia="zh-CN" w:bidi="ar-SA"/>
                    </w:rPr>
                    <w:t>、危废暂存间</w:t>
                  </w:r>
                </w:p>
              </w:tc>
              <w:tc>
                <w:tcPr>
                  <w:tcW w:w="1155" w:type="dxa"/>
                  <w:vMerge w:val="continue"/>
                  <w:vAlign w:val="center"/>
                </w:tcPr>
                <w:p>
                  <w:pPr>
                    <w:keepNext w:val="0"/>
                    <w:keepLines w:val="0"/>
                    <w:pageBreakBefore w:val="0"/>
                    <w:widowControl/>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p>
              </w:tc>
              <w:tc>
                <w:tcPr>
                  <w:tcW w:w="2385" w:type="dxa"/>
                  <w:vAlign w:val="center"/>
                </w:tcPr>
                <w:p>
                  <w:pPr>
                    <w:keepNext w:val="0"/>
                    <w:keepLines w:val="0"/>
                    <w:pageBreakBefore w:val="0"/>
                    <w:widowControl/>
                    <w:kinsoku/>
                    <w:wordWrap/>
                    <w:topLinePunct w:val="0"/>
                    <w:autoSpaceDE/>
                    <w:autoSpaceDN/>
                    <w:bidi w:val="0"/>
                    <w:adjustRightInd w:val="0"/>
                    <w:snapToGrid w:val="0"/>
                    <w:spacing w:after="0"/>
                    <w:jc w:val="lef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生活垃圾由垃圾箱收集</w:t>
                  </w:r>
                  <w:r>
                    <w:rPr>
                      <w:rFonts w:hint="eastAsia" w:ascii="Times New Roman" w:hAnsi="Times New Roman" w:eastAsia="宋体" w:cs="Times New Roman"/>
                      <w:color w:val="auto"/>
                      <w:sz w:val="21"/>
                      <w:szCs w:val="21"/>
                      <w:lang w:val="en-US" w:eastAsia="zh-CN" w:bidi="ar-SA"/>
                    </w:rPr>
                    <w:t>、危废暂存间</w:t>
                  </w:r>
                </w:p>
              </w:tc>
              <w:tc>
                <w:tcPr>
                  <w:tcW w:w="1461" w:type="dxa"/>
                  <w:vMerge w:val="continue"/>
                  <w:vAlign w:val="center"/>
                </w:tcPr>
                <w:p>
                  <w:pPr>
                    <w:keepNext w:val="0"/>
                    <w:keepLines w:val="0"/>
                    <w:pageBreakBefore w:val="0"/>
                    <w:widowControl/>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vAlign w:val="center"/>
                </w:tcPr>
                <w:p>
                  <w:pPr>
                    <w:pStyle w:val="11"/>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333" w:type="dxa"/>
                  <w:vAlign w:val="center"/>
                </w:tcPr>
                <w:p>
                  <w:pPr>
                    <w:keepNext w:val="0"/>
                    <w:keepLines w:val="0"/>
                    <w:pageBreakBefore w:val="0"/>
                    <w:widowControl/>
                    <w:kinsoku/>
                    <w:wordWrap/>
                    <w:topLinePunct w:val="0"/>
                    <w:autoSpaceDE/>
                    <w:autoSpaceDN/>
                    <w:bidi w:val="0"/>
                    <w:adjustRightInd w:val="0"/>
                    <w:snapToGrid w:val="0"/>
                    <w:spacing w:after="0"/>
                    <w:jc w:val="lef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采取隔声、减振降噪</w:t>
                  </w:r>
                </w:p>
              </w:tc>
              <w:tc>
                <w:tcPr>
                  <w:tcW w:w="1155" w:type="dxa"/>
                  <w:vMerge w:val="continue"/>
                  <w:vAlign w:val="center"/>
                </w:tcPr>
                <w:p>
                  <w:pPr>
                    <w:keepNext w:val="0"/>
                    <w:keepLines w:val="0"/>
                    <w:pageBreakBefore w:val="0"/>
                    <w:widowControl/>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p>
              </w:tc>
              <w:tc>
                <w:tcPr>
                  <w:tcW w:w="2385" w:type="dxa"/>
                  <w:vAlign w:val="center"/>
                </w:tcPr>
                <w:p>
                  <w:pPr>
                    <w:keepNext w:val="0"/>
                    <w:keepLines w:val="0"/>
                    <w:pageBreakBefore w:val="0"/>
                    <w:widowControl/>
                    <w:kinsoku/>
                    <w:wordWrap/>
                    <w:topLinePunct w:val="0"/>
                    <w:autoSpaceDE/>
                    <w:autoSpaceDN/>
                    <w:bidi w:val="0"/>
                    <w:adjustRightInd w:val="0"/>
                    <w:snapToGrid w:val="0"/>
                    <w:spacing w:after="0"/>
                    <w:jc w:val="lef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采取隔声、减振降噪</w:t>
                  </w:r>
                </w:p>
              </w:tc>
              <w:tc>
                <w:tcPr>
                  <w:tcW w:w="1461" w:type="dxa"/>
                  <w:vMerge w:val="continue"/>
                  <w:vAlign w:val="center"/>
                </w:tcPr>
                <w:p>
                  <w:pPr>
                    <w:keepNext w:val="0"/>
                    <w:keepLines w:val="0"/>
                    <w:pageBreakBefore w:val="0"/>
                    <w:widowControl/>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p>
              </w:tc>
            </w:tr>
          </w:tbl>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该项目属于</w:t>
            </w:r>
            <w:r>
              <w:rPr>
                <w:rFonts w:hint="eastAsia" w:ascii="Times New Roman" w:hAnsi="Times New Roman" w:eastAsia="宋体" w:cs="Times New Roman"/>
                <w:color w:val="auto"/>
                <w:sz w:val="24"/>
                <w:szCs w:val="24"/>
                <w:lang w:eastAsia="zh-CN"/>
              </w:rPr>
              <w:t>新建</w:t>
            </w:r>
            <w:r>
              <w:rPr>
                <w:rFonts w:hint="default" w:ascii="Times New Roman" w:hAnsi="Times New Roman" w:eastAsia="宋体" w:cs="Times New Roman"/>
                <w:color w:val="auto"/>
                <w:sz w:val="24"/>
                <w:szCs w:val="24"/>
              </w:rPr>
              <w:t>项目。项目建设前根据《中华人民共和国环境保护法》和《建设项目环境保护管理办法》的要求进行了环境影响评价。</w:t>
            </w: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eastAsia="zh-CN"/>
              </w:rPr>
              <w:t>山东南山铝业股份有限公司</w:t>
            </w:r>
            <w:r>
              <w:rPr>
                <w:rFonts w:hint="default" w:ascii="Times New Roman" w:hAnsi="Times New Roman" w:eastAsia="宋体" w:cs="Times New Roman"/>
                <w:color w:val="auto"/>
                <w:sz w:val="24"/>
                <w:szCs w:val="24"/>
              </w:rPr>
              <w:t>委托</w:t>
            </w:r>
            <w:r>
              <w:rPr>
                <w:rFonts w:hint="eastAsia" w:ascii="Times New Roman" w:hAnsi="Times New Roman" w:eastAsia="宋体" w:cs="Times New Roman"/>
                <w:color w:val="auto"/>
                <w:sz w:val="24"/>
                <w:szCs w:val="24"/>
                <w:lang w:eastAsia="zh-CN"/>
              </w:rPr>
              <w:t>烟台嘉隆技术咨询有限公司</w:t>
            </w:r>
            <w:r>
              <w:rPr>
                <w:rFonts w:hint="default" w:ascii="Times New Roman" w:hAnsi="Times New Roman" w:eastAsia="宋体" w:cs="Times New Roman"/>
                <w:color w:val="auto"/>
                <w:sz w:val="24"/>
                <w:szCs w:val="24"/>
              </w:rPr>
              <w:t>编制了</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山东南山铝业股份有限公司木托盘、包装木箱生产线建设项目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建设项目环境影响报告表；并于</w:t>
            </w: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lang w:eastAsia="zh-CN"/>
              </w:rPr>
              <w:t>日</w:t>
            </w:r>
            <w:r>
              <w:rPr>
                <w:rFonts w:hint="default" w:ascii="Times New Roman" w:hAnsi="Times New Roman" w:eastAsia="宋体" w:cs="Times New Roman"/>
                <w:color w:val="auto"/>
                <w:sz w:val="24"/>
                <w:szCs w:val="24"/>
              </w:rPr>
              <w:t>取得</w:t>
            </w:r>
            <w:r>
              <w:rPr>
                <w:rFonts w:hint="default" w:ascii="Times New Roman" w:hAnsi="Times New Roman" w:eastAsia="宋体" w:cs="Times New Roman"/>
                <w:color w:val="auto"/>
                <w:sz w:val="24"/>
                <w:szCs w:val="24"/>
                <w:lang w:eastAsia="zh-CN"/>
              </w:rPr>
              <w:t>烟台市生态环境局龙口分局</w:t>
            </w:r>
            <w:r>
              <w:rPr>
                <w:rFonts w:hint="default" w:ascii="Times New Roman" w:hAnsi="Times New Roman" w:eastAsia="宋体" w:cs="Times New Roman"/>
                <w:color w:val="auto"/>
                <w:sz w:val="24"/>
                <w:szCs w:val="24"/>
              </w:rPr>
              <w:t>出具的审批意见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龙环报告表</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49</w:t>
            </w:r>
            <w:r>
              <w:rPr>
                <w:rFonts w:hint="default" w:ascii="Times New Roman" w:hAnsi="Times New Roman" w:eastAsia="宋体" w:cs="Times New Roman"/>
                <w:color w:val="auto"/>
                <w:sz w:val="24"/>
                <w:szCs w:val="24"/>
                <w:lang w:val="en-US" w:eastAsia="zh-CN"/>
              </w:rPr>
              <w:t>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工程环保设施的建设实现了与主体工程的同时设计、同时施工、同时投产使用，目前环保设施运行状况良好。</w:t>
            </w:r>
          </w:p>
        </w:tc>
      </w:tr>
    </w:tbl>
    <w:p>
      <w:pPr>
        <w:spacing w:after="0" w:line="360" w:lineRule="auto"/>
        <w:rPr>
          <w:rFonts w:hint="default" w:ascii="Times New Roman" w:hAnsi="Times New Roman" w:eastAsia="宋体" w:cs="Times New Roman"/>
          <w:color w:val="0000FF"/>
          <w:sz w:val="24"/>
          <w:szCs w:val="24"/>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表四</w:t>
      </w:r>
    </w:p>
    <w:tbl>
      <w:tblPr>
        <w:tblStyle w:val="24"/>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widowControl w:val="0"/>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4.1建设项目环境影响报告表主要结论</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选址、布局、规模符合相关产业政策、环境保护法律法规和相关法定规划要求；所在区域环境质量良好，区域环境治理措施能满足区域环境质量改善目标管理要求；采取的污染防治措施合理、有效，项目排放的各类污染物能达到国家和地方排放标准；污染物排放总量可在区域内平衡解决。故本项目在落实本报告表提出的各项环保措施要求，严格执行环保“三同时”的前提下，从环境保护角度，本项目是合理可行的</w:t>
            </w:r>
            <w:r>
              <w:rPr>
                <w:rFonts w:hint="default" w:ascii="Times New Roman" w:hAnsi="Times New Roman" w:eastAsia="宋体" w:cs="Times New Roman"/>
                <w:color w:val="auto"/>
                <w:sz w:val="24"/>
              </w:rPr>
              <w:t>。</w:t>
            </w:r>
          </w:p>
          <w:p>
            <w:pPr>
              <w:widowControl/>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4.2审批部门审批决定</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 xml:space="preserve">审批意见:                                   龙环报告表(2022)49号 </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烟台市生态环境局龙口分局现对《山东南山铝业股份有限公司木托盘、包装木箱生产线建设项目环境影响报告表》提出以下审批意见:</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一、山东南山铝业股份有限公司位于山东省烟台市龙口市南山工业园山东南山铝业股份有限公司，项目占地面积 26000平方米，拟购置拉锯、推台锯等主要设备41台(套)，建设年产木托盘 16 万件、包装木箱14万件的生产线一条。项目总投资720 万元，其中环保投资60万元，用地性质为工业用地，符合烟台龙口市南山园区总体规划，符合“三线一单”要求，项目已在山东省投资项目在线审批监管平台备案，项目代码:2201-370681-04-01-383923，符合国家产业政策。在严格落实报告表提出的各项污染控制措施后，可满足达标排放要求，产生的环境影响可以接受，从环境保护角度分析。项目建设可行，同意该项目建设。</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二、项目在设计、施工和运营过程中，要做好以下环保工作:</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1.施工期应注意环境保护，控制设备安装产生的噪声，减轻项目施工产生的环境影响。</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2.落实报告提出的废气治理设施，加强废气污染控制措施运行管理，确保废气污染物稳定达标排放。项目营运期颗粒物有组织排放执行山东省《区域性大气污染物综合排放标准》(DB37/2376-2019)表2“重点控制区”标准要求，排放速率执行《大气污染物综合排放标准》(GB16297-1996)表2二级标准要求，颗粒物无组织排放执行《大气污染物综合排放标准》(GB16297-1996)表2无组织排放监控浓度标准。</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3.根据“雨污分流、清污分流”的原则做好项目水污染物防治工作。项目无生产废水排放，项目蒸汽冷凝水用于生活用水、锯头冷却用水、厂区酒水降尘用水、消防水池补充水。不得外排:生活污水经化粪池处理达到《污水排入城镇下水道水质标准》(GB/T 31962-2015)B级标准后，经污水管网排入世纪花园污水处理厂处理后，最终排入泳汶河污水处理厂深度处理，</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highlight w:val="yellow"/>
                <w:lang w:val="en-US" w:eastAsia="zh-CN"/>
              </w:rPr>
            </w:pPr>
            <w:r>
              <w:rPr>
                <w:rFonts w:hint="eastAsia" w:ascii="Times New Roman" w:hAnsi="Times New Roman" w:eastAsia="宋体" w:cs="Times New Roman"/>
                <w:color w:val="auto"/>
                <w:kern w:val="0"/>
                <w:sz w:val="24"/>
                <w:szCs w:val="22"/>
                <w:lang w:val="en-US" w:eastAsia="zh-CN"/>
              </w:rPr>
              <w:t>4.采用隔声、减震等措施，保养和维护机械设备，确保各厂界噪声排放满足《工业企业广界环境噪声排放标准》(GB12348-2008)中的2类标准要求5.按照“资源化、减量化、无害化”的原则对固体废物进行分类收集、贮存、种用和处置，落实各类固体废物特别是危险废物在各个环节的具体管控措施。项目运营期生产过程中产生的木屑、边角料、布袋除尘器收尘、废钉暂存于废料区，定期外售于物资回收部门综合利用:</w:t>
            </w:r>
            <w:r>
              <w:rPr>
                <w:rFonts w:hint="eastAsia" w:ascii="Times New Roman" w:hAnsi="Times New Roman" w:eastAsia="宋体" w:cs="Times New Roman"/>
                <w:color w:val="auto"/>
                <w:kern w:val="0"/>
                <w:sz w:val="24"/>
                <w:szCs w:val="22"/>
                <w:highlight w:val="yellow"/>
                <w:lang w:val="en-US" w:eastAsia="zh-CN"/>
              </w:rPr>
              <w:t>本项目试运行阶段暂时未产生废润滑油，若今后运行过程产生，收集后暂存于危废库中，委托有资质的单位统一处置;生活垃圾分类收集后由环卫部门定期清运处置。</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6.强化日常巡查、管理工作，避免发生“跑、冒、滴、漏”。采取分区防渗，对危废暂存间进行重点防渗，各区域防渗应满足《环境影响评价技术导则 地下水环境)(HJ610-2016)、《危险废物贮存污染控制标准》(GB18597-2001)等文件要求，减少物料泄漏造成对地下水和土壤影响。</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7、项目已取得《烟台市建设项目污染物总量确认书》，编号为LKZL(2022)35 号。项目主要污染物排放颗粒物排放量应控制在 1.024t/a 以内。</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8.完善环境管理。建立健全环保各项规章制度，按要求开展自行监测。严格落实环评报告中提出的环境风险防范及预警措施;试生产前制定企业突发环境事件应急预案并进行备案:定期开展环境事故应急培训和应急预案演练，切实加强事故应急处置及防范能力，将环境风险降到最低。</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9.按照国家和地方有关规定设置规范的污染物排放口、采样孔并设立标志牌，落实报告表中提出的环境管理及监测计划。</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10.按照经批准的环境影响评价文件认真梳理并确认各项环境保护措施落实后，依法申领或变更排污许可证，做到依法排污。</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11.环境影响报告中确定的其他污染防治措施，要在项目建设及运营过程中一并落实到位，</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三、项目建设必须严格执行环境保护设施与主体工程同时设计、同时施工、同时投产使用的环境保护“三同时”制度;项目竣工后，建设单位应当按照国务院环境保护行政主管部门规定的标准和程序，对配套建设的环境保护设施进行验收，编制验收报告。验收合格后，方可投入正常生产。除按照国家规定需要保密的情形外，建设单位应当依法向社会公开验收报告。</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四、若建设项目的性质、规模、地点、采用的生产工艺或者污染防治的措施等发生重大变动，你单位应当重新报批建设项目的环境影响评价文件:若环评文件自批复之日起超过5年，方决定该项目开工建设，你单位应当将环境影响评价文件报批我局重新审核:若在该项目建设、运行过程中产生不符合环境影响评价文件审批的情形你单位应当组织环境影响的后评价，并报我局备案。</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eastAsia"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五、本意见仅针对环境影响提出相关要求，涉及立项、土地、规划、海洋、城建应急、排水、消防，水土保持、铁路安全等，应符合相关政策及法律法规要求。</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kern w:val="0"/>
                <w:sz w:val="24"/>
                <w:szCs w:val="22"/>
                <w:lang w:val="en-US" w:eastAsia="zh-CN"/>
              </w:rPr>
            </w:pPr>
            <w:r>
              <w:rPr>
                <w:rFonts w:hint="eastAsia" w:ascii="Times New Roman" w:hAnsi="Times New Roman" w:eastAsia="宋体" w:cs="Times New Roman"/>
                <w:color w:val="auto"/>
                <w:kern w:val="0"/>
                <w:sz w:val="24"/>
                <w:szCs w:val="22"/>
                <w:lang w:val="en-US" w:eastAsia="zh-CN"/>
              </w:rPr>
              <w:t>六、请烟台市龙口环境执法大队三中队负责项目在建设和运营过程中的环境保护监督管理。</w:t>
            </w:r>
          </w:p>
          <w:p>
            <w:pPr>
              <w:keepNext w:val="0"/>
              <w:keepLines w:val="0"/>
              <w:pageBreakBefore w:val="0"/>
              <w:widowControl/>
              <w:kinsoku/>
              <w:wordWrap/>
              <w:overflowPunct/>
              <w:topLinePunct w:val="0"/>
              <w:autoSpaceDE/>
              <w:autoSpaceDN/>
              <w:bidi w:val="0"/>
              <w:spacing w:after="0" w:line="560" w:lineRule="exact"/>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4.3 项目环保要求落实情况</w:t>
            </w:r>
          </w:p>
          <w:tbl>
            <w:tblPr>
              <w:tblStyle w:val="24"/>
              <w:tblW w:w="8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4"/>
              <w:gridCol w:w="3682"/>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环评批复要求</w:t>
                  </w:r>
                </w:p>
              </w:tc>
              <w:tc>
                <w:tcPr>
                  <w:tcW w:w="3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实际建设情况</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落实</w:t>
                  </w:r>
                </w:p>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40" w:lineRule="exact"/>
                    <w:jc w:val="both"/>
                    <w:textAlignment w:val="auto"/>
                    <w:outlineLvl w:val="9"/>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1、施工期应注意环境保护，控制设备安装产生的噪声，减轻项目施工产生的环境影响。</w:t>
                  </w:r>
                </w:p>
              </w:tc>
              <w:tc>
                <w:tcPr>
                  <w:tcW w:w="3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left="0" w:leftChars="0" w:right="0" w:rightChars="0" w:firstLine="420" w:firstLineChars="20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项目施工期已过，施工期间控制设备安装产生的噪声，减轻施工产生的环境影响。</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落实报告提出的废气治理设施，加强废气污染控制措施运行管理，确保废气污染物稳定达标排放。项目营运期颗粒物有组织排放执行山东省《区域性大气污染物综合排放标准》(DB37/2376-2019)表2“重点控制区”标准要求，排放速率执行《大气污染物综合排放标准》(GB16297-1996)表2二级标准要求。颗粒物无组织排放执行《大气污染物综合排放标准》(GB16297-1996)表2无组织排放监控浓度标准。</w:t>
                  </w:r>
                </w:p>
              </w:tc>
              <w:tc>
                <w:tcPr>
                  <w:tcW w:w="36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40" w:lineRule="exac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项目营运期颗粒物有组织排放</w:t>
                  </w:r>
                  <w:r>
                    <w:rPr>
                      <w:rFonts w:hint="eastAsia"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highlight w:val="none"/>
                      <w:lang w:val="en-US" w:eastAsia="zh-CN"/>
                    </w:rPr>
                    <w:t>山东省《区域性大气污染物综合排放标准》(DB37/2376-2019)表2“重点控制区”标准要求，排放速率</w:t>
                  </w:r>
                  <w:r>
                    <w:rPr>
                      <w:rFonts w:hint="eastAsia"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highlight w:val="none"/>
                      <w:lang w:val="en-US" w:eastAsia="zh-CN"/>
                    </w:rPr>
                    <w:t>《大气污染物综合排放标准》(GB16297-1996)表2二级标准要求。颗粒物无组织排放</w:t>
                  </w:r>
                  <w:r>
                    <w:rPr>
                      <w:rFonts w:hint="eastAsia"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highlight w:val="none"/>
                      <w:lang w:val="en-US" w:eastAsia="zh-CN"/>
                    </w:rPr>
                    <w:t>《大气污染物综合排放标准》(GB16297-1996)表2无组织排放监控浓度标准。</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3.根据“雨污分流、清污分流”的原则做好项目水污染物防治工作。项目无生产</w:t>
                  </w:r>
                </w:p>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废水排放，项目蒸汽冷凝水用于生活用水、锯头冷却用水、厂区洒水降尘用水、消防水池补充水，不得外排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生活污水经化粪池处理达到《污水排入城镇下水道水质标准》(GB/T31962-2015)B级标准后，经污水管网排入世纪花园污水处理厂处理后，最终排入泳汶河污水处理厂深度处理。</w:t>
                  </w:r>
                </w:p>
              </w:tc>
              <w:tc>
                <w:tcPr>
                  <w:tcW w:w="3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项目无生产废水排放，项目蒸汽冷凝水用于生活用水、锯头冷却用水、厂区洒水降尘用水、消防水池补充水，不外排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生活污水经化粪池处理</w:t>
                  </w:r>
                  <w:r>
                    <w:rPr>
                      <w:rFonts w:hint="eastAsia" w:ascii="Times New Roman" w:hAnsi="Times New Roman" w:eastAsia="宋体" w:cs="Times New Roman"/>
                      <w:color w:val="auto"/>
                      <w:sz w:val="21"/>
                      <w:szCs w:val="21"/>
                      <w:highlight w:val="none"/>
                      <w:lang w:eastAsia="zh-CN"/>
                    </w:rPr>
                    <w:t>满足</w:t>
                  </w:r>
                  <w:r>
                    <w:rPr>
                      <w:rFonts w:hint="default" w:ascii="Times New Roman" w:hAnsi="Times New Roman" w:eastAsia="宋体" w:cs="Times New Roman"/>
                      <w:color w:val="auto"/>
                      <w:sz w:val="21"/>
                      <w:szCs w:val="21"/>
                      <w:highlight w:val="none"/>
                    </w:rPr>
                    <w:t>《污水排入城镇下水道水质标准》(GB/T31962-2015)B级标准，经污水管网排入世纪花园污水处理厂处理，最终排入泳汶河污水处理厂深度处理。</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4.采用隔声、减震等措施，保养和维护机械设备，确保各厂界噪声排放满足《工</w:t>
                  </w:r>
                </w:p>
                <w:p>
                  <w:pPr>
                    <w:keepNext w:val="0"/>
                    <w:keepLines w:val="0"/>
                    <w:pageBreakBefore w:val="0"/>
                    <w:widowControl/>
                    <w:kinsoku/>
                    <w:wordWrap/>
                    <w:overflowPunct/>
                    <w:topLinePunct w:val="0"/>
                    <w:autoSpaceDE/>
                    <w:autoSpaceDN/>
                    <w:bidi w:val="0"/>
                    <w:adjustRightInd w:val="0"/>
                    <w:snapToGrid w:val="0"/>
                    <w:spacing w:after="0" w:line="340" w:lineRule="exact"/>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业企业厂界环境噪声排放标准》(GB12348-2008)中的2类标准要求。</w:t>
                  </w:r>
                </w:p>
              </w:tc>
              <w:tc>
                <w:tcPr>
                  <w:tcW w:w="36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40" w:lineRule="exact"/>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rPr>
                    <w:t>采用隔声、减震等措施，保养和维护机械设备，各厂界噪声排放满足《工业企业厂界环境噪声排放标准》(GB12348-2008)中的2类标准要求。</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5.按照“资源化、减量化、无害化”的原则对固体废物进行分类收集、贮存、利</w:t>
                  </w:r>
                </w:p>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用和处置，落实各类固体废物特别是危险废物在各个环节的具体管控措施。项目运营期生产过程中产生的木屑、边角料、布袋除尘器收尘、废钉暂存于废料区，定期外售于物资回收部门综合利用</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废润滑油属于危险废物，收集后暂存于危废库中，委托有资质的单位统一处置</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生活垃圾分类收集后由环卫部门定期清运处置。</w:t>
                  </w:r>
                </w:p>
              </w:tc>
              <w:tc>
                <w:tcPr>
                  <w:tcW w:w="3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yellow"/>
                    </w:rPr>
                    <w:t>项目运营期生产过程中产生的木屑、边角料、布袋除尘器收尘、废钉暂存于废料区，定期外售于物资回收部门综合利用</w:t>
                  </w:r>
                  <w:r>
                    <w:rPr>
                      <w:rFonts w:hint="eastAsia" w:ascii="Times New Roman" w:hAnsi="Times New Roman" w:eastAsia="宋体" w:cs="Times New Roman"/>
                      <w:color w:val="auto"/>
                      <w:sz w:val="21"/>
                      <w:szCs w:val="21"/>
                      <w:highlight w:val="yellow"/>
                      <w:lang w:eastAsia="zh-CN"/>
                    </w:rPr>
                    <w:t>；</w:t>
                  </w:r>
                  <w:r>
                    <w:rPr>
                      <w:rFonts w:hint="eastAsia" w:ascii="Times New Roman" w:hAnsi="Times New Roman" w:eastAsia="宋体" w:cs="Times New Roman"/>
                      <w:color w:val="auto"/>
                      <w:sz w:val="21"/>
                      <w:szCs w:val="21"/>
                      <w:highlight w:val="yellow"/>
                      <w:lang w:val="en-US" w:eastAsia="zh-CN"/>
                    </w:rPr>
                    <w:t>本项目试运行阶段暂时未产生废润滑油，若今后运行过程产生，</w:t>
                  </w:r>
                  <w:r>
                    <w:rPr>
                      <w:rFonts w:hint="default" w:ascii="Times New Roman" w:hAnsi="Times New Roman" w:eastAsia="宋体" w:cs="Times New Roman"/>
                      <w:color w:val="auto"/>
                      <w:sz w:val="21"/>
                      <w:szCs w:val="21"/>
                      <w:highlight w:val="yellow"/>
                    </w:rPr>
                    <w:t>收集后暂存于危废库中，委托有资质的单位统一处置</w:t>
                  </w:r>
                  <w:r>
                    <w:rPr>
                      <w:rFonts w:hint="eastAsia" w:ascii="Times New Roman" w:hAnsi="Times New Roman" w:eastAsia="宋体" w:cs="Times New Roman"/>
                      <w:color w:val="auto"/>
                      <w:sz w:val="21"/>
                      <w:szCs w:val="21"/>
                      <w:highlight w:val="yellow"/>
                      <w:lang w:eastAsia="zh-CN"/>
                    </w:rPr>
                    <w:t>；</w:t>
                  </w:r>
                  <w:r>
                    <w:rPr>
                      <w:rFonts w:hint="default" w:ascii="Times New Roman" w:hAnsi="Times New Roman" w:eastAsia="宋体" w:cs="Times New Roman"/>
                      <w:color w:val="auto"/>
                      <w:sz w:val="21"/>
                      <w:szCs w:val="21"/>
                      <w:highlight w:val="yellow"/>
                    </w:rPr>
                    <w:t>生活垃圾分类收集后由环卫部门定期清运处置。</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6.强化日常巡查、管理工作，避免发生“跑、冒、滴、漏”。采取分区防渗，对</w:t>
                  </w:r>
                </w:p>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危废暂存间进行重点防渗，各区域防渗应满足《环境影响评价技术导则地下水环境</w:t>
                  </w:r>
                  <w:r>
                    <w:rPr>
                      <w:rFonts w:hint="eastAsia"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(HJ610-2016)、《危险废物贮存污染控制标准》(GB18597-2001)等文件要求，减少物料泄漏造成对地下水和土壤影响。</w:t>
                  </w:r>
                </w:p>
              </w:tc>
              <w:tc>
                <w:tcPr>
                  <w:tcW w:w="3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rPr>
                    <w:t>采取分区防渗，对危废暂存间进行重点防渗，各区域防渗满足《环境影响评价技术导则地下水环境</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(HJ610-2016)、《危险废物贮存污染控制标准》(GB18597-2001)等文件要求，减少物料泄漏造成对地下水和土壤影响。</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7</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项目已得《烟台建设项目污染物总量确认书》，编号为LKZL(2022)35号。项目主要污染物排放颗粒物排放量应控制在1.024t/a以内。</w:t>
                  </w:r>
                </w:p>
              </w:tc>
              <w:tc>
                <w:tcPr>
                  <w:tcW w:w="3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项目主要污染物排放颗粒物排放量</w:t>
                  </w:r>
                  <w:r>
                    <w:rPr>
                      <w:rFonts w:hint="eastAsia" w:ascii="Times New Roman" w:hAnsi="Times New Roman" w:eastAsia="宋体" w:cs="Times New Roman"/>
                      <w:color w:val="auto"/>
                      <w:sz w:val="21"/>
                      <w:szCs w:val="21"/>
                      <w:highlight w:val="none"/>
                      <w:lang w:val="en-US" w:eastAsia="zh-CN"/>
                    </w:rPr>
                    <w:t>0.15</w:t>
                  </w:r>
                  <w:r>
                    <w:rPr>
                      <w:rFonts w:hint="default" w:ascii="Times New Roman" w:hAnsi="Times New Roman" w:eastAsia="宋体" w:cs="Times New Roman"/>
                      <w:color w:val="auto"/>
                      <w:sz w:val="21"/>
                      <w:szCs w:val="21"/>
                      <w:highlight w:val="none"/>
                      <w:lang w:eastAsia="zh-CN"/>
                    </w:rPr>
                    <w:t>t/a。</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8.完善环境管理。建立健全环保各项规章制度，按要求开展自行监测。严格落实环评报告中提出的环境风险防范及预警措施;试生产前制定企业突发环境事件应急预案并进行备案;定期开展环境事故应急培训和应急预案演练，切实加强事故应急处置及防范能力，将环境风险降到最低。</w:t>
                  </w:r>
                </w:p>
              </w:tc>
              <w:tc>
                <w:tcPr>
                  <w:tcW w:w="3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lang w:eastAsia="zh-CN"/>
                    </w:rPr>
                    <w:t>建立健全环保各项规章制度，按要求开展自行监测。严格落实环评报告中提出的环境风险防范及预警措施;</w:t>
                  </w:r>
                  <w:r>
                    <w:rPr>
                      <w:rFonts w:hint="eastAsia"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lang w:eastAsia="zh-CN"/>
                    </w:rPr>
                    <w:t>制定企业突发环境事件应急预案并进行备案;定期开展环境事故应急培训和应急预案演练，切实加强事故应急处置及防范能力，将环境风险降到最低。</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9.按照国家和地方有关规定设置规范的污染物排放口、采样孔并设立标志牌，落实报告表中提出的环境管理及监测计划。</w:t>
                  </w:r>
                </w:p>
              </w:tc>
              <w:tc>
                <w:tcPr>
                  <w:tcW w:w="3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lang w:eastAsia="zh-CN"/>
                    </w:rPr>
                    <w:t>按照国家和地方有关规定设置规范的污染物排放口、采样孔并设立标志牌，</w:t>
                  </w:r>
                  <w:r>
                    <w:rPr>
                      <w:rFonts w:hint="eastAsia"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lang w:eastAsia="zh-CN"/>
                    </w:rPr>
                    <w:t>落实环境管理及监测计划</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10.按照经批准的环境影响评价文件认真梳理并确认各项环境保护措施落实后，依法申领或变更排污许可证，做到依法排污。</w:t>
                  </w:r>
                </w:p>
              </w:tc>
              <w:tc>
                <w:tcPr>
                  <w:tcW w:w="3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lang w:eastAsia="zh-CN"/>
                    </w:rPr>
                    <w:t>依法申领排污许可证，做到依法排污。</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both"/>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11.环境影响报告中确定的其他污染防治措施，要在项目建设及运营过程中一并落实到位。</w:t>
                  </w:r>
                </w:p>
              </w:tc>
              <w:tc>
                <w:tcPr>
                  <w:tcW w:w="3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其他污染防治措施，项目建设及运营过程中</w:t>
                  </w:r>
                  <w:r>
                    <w:rPr>
                      <w:rFonts w:hint="eastAsia"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lang w:eastAsia="zh-CN"/>
                    </w:rPr>
                    <w:t>落实到位。</w:t>
                  </w:r>
                </w:p>
              </w:tc>
              <w:tc>
                <w:tcPr>
                  <w:tcW w:w="8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已落实</w:t>
                  </w:r>
                </w:p>
              </w:tc>
            </w:tr>
          </w:tbl>
          <w:p>
            <w:pPr>
              <w:widowControl/>
              <w:spacing w:after="0" w:line="560" w:lineRule="exact"/>
              <w:ind w:firstLine="44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br w:type="textWrapping"/>
            </w:r>
            <w:r>
              <w:rPr>
                <w:rFonts w:hint="default" w:ascii="Times New Roman" w:hAnsi="Times New Roman" w:eastAsia="宋体" w:cs="Times New Roman"/>
                <w:color w:val="auto"/>
                <w:lang w:val="en-US" w:eastAsia="zh-CN"/>
              </w:rPr>
              <w:br w:type="textWrapping"/>
            </w:r>
            <w:r>
              <w:rPr>
                <w:rFonts w:hint="default" w:ascii="Times New Roman" w:hAnsi="Times New Roman" w:eastAsia="宋体" w:cs="Times New Roman"/>
                <w:color w:val="auto"/>
                <w:lang w:val="en-US" w:eastAsia="zh-CN"/>
              </w:rPr>
              <w:br w:type="textWrapping"/>
            </w:r>
            <w:r>
              <w:rPr>
                <w:rFonts w:hint="default" w:ascii="Times New Roman" w:hAnsi="Times New Roman" w:eastAsia="宋体" w:cs="Times New Roman"/>
                <w:color w:val="auto"/>
                <w:lang w:val="en-US" w:eastAsia="zh-CN"/>
              </w:rPr>
              <w:br w:type="textWrapping"/>
            </w:r>
            <w:r>
              <w:rPr>
                <w:rFonts w:hint="default" w:ascii="Times New Roman" w:hAnsi="Times New Roman" w:eastAsia="宋体" w:cs="Times New Roman"/>
                <w:color w:val="auto"/>
                <w:lang w:val="en-US" w:eastAsia="zh-CN"/>
              </w:rPr>
              <w:br w:type="textWrapping"/>
            </w:r>
            <w:r>
              <w:rPr>
                <w:rFonts w:hint="default" w:ascii="Times New Roman" w:hAnsi="Times New Roman" w:eastAsia="宋体" w:cs="Times New Roman"/>
                <w:color w:val="auto"/>
                <w:lang w:val="en-US" w:eastAsia="zh-CN"/>
              </w:rPr>
              <w:br w:type="textWrapping"/>
            </w:r>
            <w:r>
              <w:rPr>
                <w:rFonts w:hint="default" w:ascii="Times New Roman" w:hAnsi="Times New Roman" w:eastAsia="宋体" w:cs="Times New Roman"/>
                <w:color w:val="auto"/>
                <w:lang w:val="en-US" w:eastAsia="zh-CN"/>
              </w:rPr>
              <w:br w:type="textWrapping"/>
            </w:r>
            <w:r>
              <w:rPr>
                <w:rFonts w:hint="default" w:ascii="Times New Roman" w:hAnsi="Times New Roman" w:eastAsia="宋体" w:cs="Times New Roman"/>
                <w:color w:val="auto"/>
                <w:lang w:val="en-US" w:eastAsia="zh-CN"/>
              </w:rPr>
              <w:br w:type="textWrapping"/>
            </w:r>
            <w:r>
              <w:rPr>
                <w:rFonts w:hint="default" w:ascii="Times New Roman" w:hAnsi="Times New Roman" w:eastAsia="宋体" w:cs="Times New Roman"/>
                <w:color w:val="auto"/>
                <w:lang w:val="en-US" w:eastAsia="zh-CN"/>
              </w:rPr>
              <w:br w:type="textWrapping"/>
            </w:r>
            <w:r>
              <w:rPr>
                <w:rFonts w:hint="default" w:ascii="Times New Roman" w:hAnsi="Times New Roman" w:eastAsia="宋体" w:cs="Times New Roman"/>
                <w:color w:val="auto"/>
                <w:lang w:val="en-US" w:eastAsia="zh-CN"/>
              </w:rPr>
              <w:br w:type="textWrapping"/>
            </w:r>
          </w:p>
        </w:tc>
      </w:tr>
    </w:tbl>
    <w:p>
      <w:pPr>
        <w:pStyle w:val="2"/>
        <w:ind w:left="0" w:leftChars="0" w:firstLine="0" w:firstLineChars="0"/>
        <w:rPr>
          <w:rFonts w:hint="default" w:ascii="Times New Roman" w:hAnsi="Times New Roman" w:eastAsia="宋体" w:cs="Times New Roman"/>
          <w:color w:val="0000FF"/>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表五</w:t>
      </w:r>
    </w:p>
    <w:tbl>
      <w:tblPr>
        <w:tblStyle w:val="24"/>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widowControl w:val="0"/>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5.验收监测质量保证及质量控制</w:t>
            </w:r>
          </w:p>
          <w:p>
            <w:pPr>
              <w:pStyle w:val="39"/>
              <w:widowControl/>
              <w:spacing w:after="0" w:line="560" w:lineRule="exact"/>
              <w:ind w:firstLine="48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为保证证监测数据的质量，企业的验收监测均由有资质的单位进行验收检测。</w:t>
            </w:r>
          </w:p>
          <w:p>
            <w:pPr>
              <w:pStyle w:val="39"/>
              <w:widowControl/>
              <w:spacing w:after="0" w:line="560" w:lineRule="exact"/>
              <w:ind w:firstLine="48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检测单位</w:t>
            </w:r>
            <w:r>
              <w:rPr>
                <w:rFonts w:hint="default" w:ascii="Times New Roman" w:hAnsi="Times New Roman" w:eastAsia="宋体" w:cs="Times New Roman"/>
                <w:color w:val="auto"/>
                <w:sz w:val="24"/>
                <w:szCs w:val="24"/>
              </w:rPr>
              <w:t>严格按照《环境监测技术规范》和有关环境检测质量保证的要求进行样品采集、保持、分析等。合理布设监测点位，确保各监测点位布设的科学性和可比性。全程进行质量控制。</w:t>
            </w:r>
          </w:p>
          <w:p>
            <w:pPr>
              <w:pStyle w:val="39"/>
              <w:widowControl/>
              <w:spacing w:after="0" w:line="560" w:lineRule="exact"/>
              <w:ind w:left="0" w:leftChars="0" w:firstLine="0" w:firstLineChars="0"/>
              <w:jc w:val="both"/>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lang w:eastAsia="zh-CN"/>
              </w:rPr>
              <w:t>检</w:t>
            </w:r>
            <w:r>
              <w:rPr>
                <w:rFonts w:hint="default" w:ascii="Times New Roman" w:hAnsi="Times New Roman" w:eastAsia="宋体" w:cs="Times New Roman"/>
                <w:b/>
                <w:bCs/>
                <w:color w:val="auto"/>
                <w:sz w:val="24"/>
                <w:szCs w:val="24"/>
              </w:rPr>
              <w:t>测分析方法</w:t>
            </w:r>
            <w:r>
              <w:rPr>
                <w:rFonts w:hint="default" w:ascii="Times New Roman" w:hAnsi="Times New Roman" w:eastAsia="宋体" w:cs="Times New Roman"/>
                <w:b/>
                <w:bCs/>
                <w:color w:val="auto"/>
                <w:sz w:val="24"/>
                <w:szCs w:val="24"/>
                <w:lang w:eastAsia="zh-CN"/>
              </w:rPr>
              <w:t>及检测仪器</w:t>
            </w:r>
          </w:p>
          <w:p>
            <w:pPr>
              <w:pStyle w:val="39"/>
              <w:widowControl/>
              <w:spacing w:after="0" w:line="560" w:lineRule="exact"/>
              <w:ind w:firstLine="480"/>
              <w:jc w:val="center"/>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表5-1  检测技术规范、依据</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1220"/>
              <w:gridCol w:w="1255"/>
              <w:gridCol w:w="1021"/>
              <w:gridCol w:w="1994"/>
              <w:gridCol w:w="1870"/>
              <w:gridCol w:w="8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5000" w:type="pct"/>
                  <w:gridSpan w:val="7"/>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检测方法及检测设备一览表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0" w:hRule="atLeast"/>
                <w:jc w:val="center"/>
              </w:trPr>
              <w:tc>
                <w:tcPr>
                  <w:tcW w:w="1034" w:type="pct"/>
                  <w:gridSpan w:val="2"/>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分析项目</w:t>
                  </w:r>
                </w:p>
              </w:tc>
              <w:tc>
                <w:tcPr>
                  <w:tcW w:w="712"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方法依据</w:t>
                  </w:r>
                </w:p>
              </w:tc>
              <w:tc>
                <w:tcPr>
                  <w:tcW w:w="675"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分析方法</w:t>
                  </w:r>
                </w:p>
              </w:tc>
              <w:tc>
                <w:tcPr>
                  <w:tcW w:w="124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仪器设备名称及型号</w:t>
                  </w:r>
                </w:p>
              </w:tc>
              <w:tc>
                <w:tcPr>
                  <w:tcW w:w="86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仪器编号</w:t>
                  </w:r>
                </w:p>
              </w:tc>
              <w:tc>
                <w:tcPr>
                  <w:tcW w:w="473"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检出限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9" w:hRule="atLeast"/>
                <w:jc w:val="center"/>
              </w:trPr>
              <w:tc>
                <w:tcPr>
                  <w:tcW w:w="243" w:type="pct"/>
                  <w:vMerge w:val="restar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有组织废气</w:t>
                  </w:r>
                </w:p>
              </w:tc>
              <w:tc>
                <w:tcPr>
                  <w:tcW w:w="790" w:type="pct"/>
                  <w:vMerge w:val="restar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712" w:type="pct"/>
                  <w:vMerge w:val="restar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HJ 836-2017</w:t>
                  </w:r>
                </w:p>
              </w:tc>
              <w:tc>
                <w:tcPr>
                  <w:tcW w:w="675" w:type="pct"/>
                  <w:vMerge w:val="restar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重量法</w:t>
                  </w:r>
                </w:p>
              </w:tc>
              <w:tc>
                <w:tcPr>
                  <w:tcW w:w="124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YQ3000-</w:t>
                  </w:r>
                  <w:r>
                    <w:rPr>
                      <w:rFonts w:hint="eastAsia" w:ascii="Times New Roman" w:hAnsi="Times New Roman" w:eastAsia="宋体" w:cs="Times New Roman"/>
                      <w:color w:val="auto"/>
                      <w:sz w:val="21"/>
                      <w:szCs w:val="21"/>
                      <w:highlight w:val="none"/>
                      <w:lang w:val="en-US" w:eastAsia="zh-CN"/>
                    </w:rPr>
                    <w:t>D大流量烟尘(气)测试仪</w:t>
                  </w:r>
                </w:p>
              </w:tc>
              <w:tc>
                <w:tcPr>
                  <w:tcW w:w="86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DLJC-YQ-076</w:t>
                  </w:r>
                </w:p>
              </w:tc>
              <w:tc>
                <w:tcPr>
                  <w:tcW w:w="473" w:type="pct"/>
                  <w:vMerge w:val="restar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mg/m3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24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790"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712"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675"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124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AUW120D </w:t>
                  </w:r>
                </w:p>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十万分之一天平</w:t>
                  </w:r>
                </w:p>
              </w:tc>
              <w:tc>
                <w:tcPr>
                  <w:tcW w:w="86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DLJC-YQ-011</w:t>
                  </w:r>
                </w:p>
              </w:tc>
              <w:tc>
                <w:tcPr>
                  <w:tcW w:w="47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43" w:type="pct"/>
                  <w:vMerge w:val="restar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无组织废气</w:t>
                  </w:r>
                </w:p>
              </w:tc>
              <w:tc>
                <w:tcPr>
                  <w:tcW w:w="790" w:type="pct"/>
                  <w:vMerge w:val="restar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712" w:type="pct"/>
                  <w:vMerge w:val="restar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GB/T 15432-1995</w:t>
                  </w:r>
                </w:p>
              </w:tc>
              <w:tc>
                <w:tcPr>
                  <w:tcW w:w="675" w:type="pct"/>
                  <w:vMerge w:val="restar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重量法</w:t>
                  </w:r>
                </w:p>
              </w:tc>
              <w:tc>
                <w:tcPr>
                  <w:tcW w:w="124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MH12</w:t>
                  </w:r>
                  <w:r>
                    <w:rPr>
                      <w:rFonts w:hint="eastAsia" w:ascii="Times New Roman" w:hAnsi="Times New Roman" w:eastAsia="宋体" w:cs="Times New Roman"/>
                      <w:color w:val="auto"/>
                      <w:sz w:val="21"/>
                      <w:szCs w:val="21"/>
                      <w:highlight w:val="none"/>
                      <w:lang w:val="en-US" w:eastAsia="zh-CN"/>
                    </w:rPr>
                    <w:t>05全自动大气/颗粒物采样器</w:t>
                  </w:r>
                </w:p>
              </w:tc>
              <w:tc>
                <w:tcPr>
                  <w:tcW w:w="86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DLJC-YQ-0</w:t>
                  </w:r>
                  <w:r>
                    <w:rPr>
                      <w:rFonts w:hint="eastAsia" w:ascii="Times New Roman" w:hAnsi="Times New Roman" w:eastAsia="宋体" w:cs="Times New Roman"/>
                      <w:color w:val="auto"/>
                      <w:sz w:val="21"/>
                      <w:szCs w:val="21"/>
                      <w:highlight w:val="none"/>
                      <w:lang w:val="en-US" w:eastAsia="zh-CN"/>
                    </w:rPr>
                    <w:t>78-1~4</w:t>
                  </w:r>
                </w:p>
              </w:tc>
              <w:tc>
                <w:tcPr>
                  <w:tcW w:w="473" w:type="pct"/>
                  <w:vMerge w:val="restar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0.001 </w:t>
                  </w:r>
                  <w:r>
                    <w:rPr>
                      <w:rFonts w:hint="eastAsia" w:ascii="Times New Roman" w:hAnsi="Times New Roman" w:eastAsia="宋体" w:cs="Times New Roman"/>
                      <w:color w:val="auto"/>
                      <w:sz w:val="21"/>
                      <w:szCs w:val="21"/>
                      <w:highlight w:val="none"/>
                      <w:lang w:val="en-US" w:eastAsia="zh-CN"/>
                    </w:rPr>
                    <w:t>mg/m3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4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790"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712" w:type="pct"/>
                  <w:vMerge w:val="continue"/>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p>
              </w:tc>
              <w:tc>
                <w:tcPr>
                  <w:tcW w:w="675" w:type="pct"/>
                  <w:vMerge w:val="continue"/>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p>
              </w:tc>
              <w:tc>
                <w:tcPr>
                  <w:tcW w:w="124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AUW120D </w:t>
                  </w:r>
                </w:p>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十万分之一天平</w:t>
                  </w:r>
                </w:p>
              </w:tc>
              <w:tc>
                <w:tcPr>
                  <w:tcW w:w="86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DLJC-YQ-011</w:t>
                  </w:r>
                </w:p>
              </w:tc>
              <w:tc>
                <w:tcPr>
                  <w:tcW w:w="473" w:type="pct"/>
                  <w:vMerge w:val="continue"/>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43" w:type="pct"/>
                  <w:vMerge w:val="restar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w:t>
                  </w:r>
                </w:p>
              </w:tc>
              <w:tc>
                <w:tcPr>
                  <w:tcW w:w="790"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pH值</w:t>
                  </w:r>
                </w:p>
              </w:tc>
              <w:tc>
                <w:tcPr>
                  <w:tcW w:w="712"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HJ</w:t>
                  </w:r>
                </w:p>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1147-2020</w:t>
                  </w:r>
                </w:p>
              </w:tc>
              <w:tc>
                <w:tcPr>
                  <w:tcW w:w="675"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电极法</w:t>
                  </w:r>
                </w:p>
              </w:tc>
              <w:tc>
                <w:tcPr>
                  <w:tcW w:w="124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LC-PHM-1A便携式酸度计</w:t>
                  </w:r>
                </w:p>
              </w:tc>
              <w:tc>
                <w:tcPr>
                  <w:tcW w:w="86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DLJC-YQ-088-8</w:t>
                  </w:r>
                </w:p>
              </w:tc>
              <w:tc>
                <w:tcPr>
                  <w:tcW w:w="473"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4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790"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w:t>
                  </w:r>
                </w:p>
              </w:tc>
              <w:tc>
                <w:tcPr>
                  <w:tcW w:w="712"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GB/T 11901-1989</w:t>
                  </w:r>
                </w:p>
              </w:tc>
              <w:tc>
                <w:tcPr>
                  <w:tcW w:w="675"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重量法</w:t>
                  </w:r>
                </w:p>
              </w:tc>
              <w:tc>
                <w:tcPr>
                  <w:tcW w:w="124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万分之一电子天平</w:t>
                  </w:r>
                </w:p>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ATY124型</w:t>
                  </w:r>
                </w:p>
              </w:tc>
              <w:tc>
                <w:tcPr>
                  <w:tcW w:w="86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DLJC-YQ-010</w:t>
                  </w:r>
                </w:p>
              </w:tc>
              <w:tc>
                <w:tcPr>
                  <w:tcW w:w="473"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 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4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790"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化学需氧量</w:t>
                  </w:r>
                </w:p>
              </w:tc>
              <w:tc>
                <w:tcPr>
                  <w:tcW w:w="712"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HJ828-2017</w:t>
                  </w:r>
                </w:p>
              </w:tc>
              <w:tc>
                <w:tcPr>
                  <w:tcW w:w="675"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重铬酸盐法</w:t>
                  </w:r>
                </w:p>
              </w:tc>
              <w:tc>
                <w:tcPr>
                  <w:tcW w:w="124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6B-12C型回流消解仪</w:t>
                  </w:r>
                </w:p>
              </w:tc>
              <w:tc>
                <w:tcPr>
                  <w:tcW w:w="86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DLJC-YQ-0</w:t>
                  </w:r>
                  <w:r>
                    <w:rPr>
                      <w:rFonts w:hint="eastAsia" w:ascii="Times New Roman" w:hAnsi="Times New Roman" w:eastAsia="宋体" w:cs="Times New Roman"/>
                      <w:color w:val="auto"/>
                      <w:sz w:val="21"/>
                      <w:szCs w:val="21"/>
                      <w:highlight w:val="none"/>
                      <w:lang w:val="en-US" w:eastAsia="zh-CN"/>
                    </w:rPr>
                    <w:t>09</w:t>
                  </w:r>
                </w:p>
              </w:tc>
              <w:tc>
                <w:tcPr>
                  <w:tcW w:w="473"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 xml:space="preserve"> 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4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790"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w:t>
                  </w:r>
                </w:p>
              </w:tc>
              <w:tc>
                <w:tcPr>
                  <w:tcW w:w="712"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HJ505-2009</w:t>
                  </w:r>
                </w:p>
              </w:tc>
              <w:tc>
                <w:tcPr>
                  <w:tcW w:w="675"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稀释与接种法</w:t>
                  </w:r>
                </w:p>
              </w:tc>
              <w:tc>
                <w:tcPr>
                  <w:tcW w:w="124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培养箱</w:t>
                  </w:r>
                </w:p>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LRH-250- BOD</w:t>
                  </w:r>
                </w:p>
              </w:tc>
              <w:tc>
                <w:tcPr>
                  <w:tcW w:w="86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DLJC-YQ-022</w:t>
                  </w:r>
                </w:p>
              </w:tc>
              <w:tc>
                <w:tcPr>
                  <w:tcW w:w="473"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 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4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790"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溶解性总固体</w:t>
                  </w:r>
                </w:p>
              </w:tc>
              <w:tc>
                <w:tcPr>
                  <w:tcW w:w="712"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CJ/T 51-2018</w:t>
                  </w:r>
                </w:p>
              </w:tc>
              <w:tc>
                <w:tcPr>
                  <w:tcW w:w="675"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重量法</w:t>
                  </w:r>
                </w:p>
              </w:tc>
              <w:tc>
                <w:tcPr>
                  <w:tcW w:w="124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ATY124型电子天平</w:t>
                  </w:r>
                </w:p>
              </w:tc>
              <w:tc>
                <w:tcPr>
                  <w:tcW w:w="86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DLJC-YQ-010</w:t>
                  </w:r>
                </w:p>
              </w:tc>
              <w:tc>
                <w:tcPr>
                  <w:tcW w:w="473"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4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790"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总磷</w:t>
                  </w:r>
                </w:p>
              </w:tc>
              <w:tc>
                <w:tcPr>
                  <w:tcW w:w="712"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GB/T</w:t>
                  </w:r>
                </w:p>
                <w:p>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11893-1989</w:t>
                  </w:r>
                </w:p>
              </w:tc>
              <w:tc>
                <w:tcPr>
                  <w:tcW w:w="675"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钼酸铵分光光度法</w:t>
                  </w:r>
                </w:p>
              </w:tc>
              <w:tc>
                <w:tcPr>
                  <w:tcW w:w="124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V-5000可见分光光度计</w:t>
                  </w:r>
                </w:p>
              </w:tc>
              <w:tc>
                <w:tcPr>
                  <w:tcW w:w="86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DLJC-YQ-007</w:t>
                  </w:r>
                </w:p>
              </w:tc>
              <w:tc>
                <w:tcPr>
                  <w:tcW w:w="473"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4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790"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总氮</w:t>
                  </w:r>
                </w:p>
              </w:tc>
              <w:tc>
                <w:tcPr>
                  <w:tcW w:w="712"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HJ636-2012</w:t>
                  </w:r>
                </w:p>
              </w:tc>
              <w:tc>
                <w:tcPr>
                  <w:tcW w:w="675"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碱性过硫酸钾消解紫外分光光度法</w:t>
                  </w:r>
                </w:p>
              </w:tc>
              <w:tc>
                <w:tcPr>
                  <w:tcW w:w="124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UV-6100紫外分光光度计</w:t>
                  </w:r>
                </w:p>
              </w:tc>
              <w:tc>
                <w:tcPr>
                  <w:tcW w:w="86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DLJC-YQ-00</w:t>
                  </w:r>
                  <w:r>
                    <w:rPr>
                      <w:rFonts w:hint="eastAsia" w:ascii="Times New Roman" w:hAnsi="Times New Roman" w:eastAsia="宋体" w:cs="Times New Roman"/>
                      <w:color w:val="auto"/>
                      <w:sz w:val="21"/>
                      <w:szCs w:val="21"/>
                      <w:highlight w:val="none"/>
                      <w:lang w:val="en-US" w:eastAsia="zh-CN"/>
                    </w:rPr>
                    <w:t>6</w:t>
                  </w:r>
                </w:p>
              </w:tc>
              <w:tc>
                <w:tcPr>
                  <w:tcW w:w="473"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p>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9" w:hRule="atLeast"/>
                <w:jc w:val="center"/>
              </w:trPr>
              <w:tc>
                <w:tcPr>
                  <w:tcW w:w="24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p>
              </w:tc>
              <w:tc>
                <w:tcPr>
                  <w:tcW w:w="790"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氨氮</w:t>
                  </w:r>
                </w:p>
              </w:tc>
              <w:tc>
                <w:tcPr>
                  <w:tcW w:w="712"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HJ535-2009</w:t>
                  </w:r>
                </w:p>
              </w:tc>
              <w:tc>
                <w:tcPr>
                  <w:tcW w:w="675"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纳氏试剂分光光度法</w:t>
                  </w:r>
                </w:p>
              </w:tc>
              <w:tc>
                <w:tcPr>
                  <w:tcW w:w="124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V-5000可见分光光度计</w:t>
                  </w:r>
                </w:p>
              </w:tc>
              <w:tc>
                <w:tcPr>
                  <w:tcW w:w="86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DLJC-YQ-007</w:t>
                  </w:r>
                </w:p>
              </w:tc>
              <w:tc>
                <w:tcPr>
                  <w:tcW w:w="473"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0.025</w:t>
                  </w:r>
                </w:p>
                <w:p>
                  <w:pPr>
                    <w:spacing w:after="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9" w:hRule="atLeast"/>
                <w:jc w:val="center"/>
              </w:trPr>
              <w:tc>
                <w:tcPr>
                  <w:tcW w:w="243"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噪声</w:t>
                  </w:r>
                </w:p>
              </w:tc>
              <w:tc>
                <w:tcPr>
                  <w:tcW w:w="790"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工业企业厂界环境噪声</w:t>
                  </w:r>
                </w:p>
              </w:tc>
              <w:tc>
                <w:tcPr>
                  <w:tcW w:w="712"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GB 12348-2008</w:t>
                  </w:r>
                </w:p>
              </w:tc>
              <w:tc>
                <w:tcPr>
                  <w:tcW w:w="675"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声级计法</w:t>
                  </w:r>
                </w:p>
              </w:tc>
              <w:tc>
                <w:tcPr>
                  <w:tcW w:w="1241"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AWA5688多功能声级计</w:t>
                  </w:r>
                </w:p>
              </w:tc>
              <w:tc>
                <w:tcPr>
                  <w:tcW w:w="861" w:type="pct"/>
                  <w:tcBorders>
                    <w:tl2br w:val="nil"/>
                    <w:tr2bl w:val="nil"/>
                  </w:tcBorders>
                  <w:noWrap w:val="0"/>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DLJC-YQ-044-3</w:t>
                  </w:r>
                </w:p>
              </w:tc>
              <w:tc>
                <w:tcPr>
                  <w:tcW w:w="473" w:type="pct"/>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 dB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034" w:type="pct"/>
                  <w:gridSpan w:val="2"/>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备注</w:t>
                  </w:r>
                </w:p>
              </w:tc>
              <w:tc>
                <w:tcPr>
                  <w:tcW w:w="3965" w:type="pct"/>
                  <w:gridSpan w:val="5"/>
                  <w:tcBorders>
                    <w:tl2br w:val="nil"/>
                    <w:tr2bl w:val="nil"/>
                  </w:tcBorders>
                  <w:noWrap w:val="0"/>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bl>
          <w:p>
            <w:pPr>
              <w:pStyle w:val="39"/>
              <w:widowControl/>
              <w:spacing w:after="0" w:line="560" w:lineRule="exact"/>
              <w:ind w:left="0" w:leftChars="0" w:firstLine="0" w:firstLineChars="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5.2人员能力</w:t>
            </w:r>
          </w:p>
          <w:p>
            <w:pPr>
              <w:pStyle w:val="39"/>
              <w:widowControl/>
              <w:spacing w:after="0" w:line="560" w:lineRule="exact"/>
              <w:ind w:firstLine="48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参加此次环保设施竣工验收监测的工作人员，均经技术培训、考核合格，持证上岗。了解、熟悉环境监测有关技术规范及环境监测分析方法，熟练掌握环境监测采样及实验分析操作技术，具有完成各项环境监测工作的能力。</w:t>
            </w:r>
          </w:p>
          <w:p>
            <w:pPr>
              <w:pStyle w:val="39"/>
              <w:widowControl/>
              <w:spacing w:after="0" w:line="560" w:lineRule="exact"/>
              <w:ind w:left="0" w:leftChars="0" w:firstLine="0" w:firstLineChars="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5.3废气监测质量保证和质量控制</w:t>
            </w:r>
          </w:p>
          <w:p>
            <w:pPr>
              <w:pStyle w:val="39"/>
              <w:widowControl/>
              <w:spacing w:after="0" w:line="560" w:lineRule="exact"/>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尽量避免被测排放物中共存污染物因子对仪器分析的交叉干扰；被测排放物的浓度在仪器测试量程的有效范围即仪器量程的30%-70%之间。在采样前对采样器流量进行核准，并检测气密性；采样用滤膜称量过程同时称量标准滤膜作质控；烟气分析仪在测试前后按检测因子分别用与实测浓度相近的标准气体和流量计对其进行校核（测定），测试时保证其采样流量；</w:t>
            </w:r>
          </w:p>
          <w:p>
            <w:pPr>
              <w:pStyle w:val="39"/>
              <w:widowControl/>
              <w:spacing w:after="0" w:line="560" w:lineRule="exact"/>
              <w:ind w:left="0" w:leftChars="0" w:firstLine="0" w:firstLineChars="0"/>
              <w:jc w:val="both"/>
              <w:rPr>
                <w:rFonts w:hint="default" w:ascii="Times New Roman" w:hAnsi="Times New Roman" w:cs="Times New Roman" w:eastAsiaTheme="minorEastAsia"/>
                <w:b/>
                <w:bCs/>
                <w:sz w:val="24"/>
                <w:szCs w:val="24"/>
                <w:highlight w:val="none"/>
                <w:lang w:val="en-US" w:eastAsia="zh-CN"/>
              </w:rPr>
            </w:pPr>
            <w:r>
              <w:rPr>
                <w:rFonts w:hint="default" w:ascii="Times New Roman" w:hAnsi="Times New Roman" w:cs="Times New Roman" w:eastAsiaTheme="minorEastAsia"/>
                <w:b/>
                <w:bCs/>
                <w:sz w:val="24"/>
                <w:szCs w:val="24"/>
                <w:highlight w:val="none"/>
                <w:lang w:val="en-US" w:eastAsia="zh-CN"/>
              </w:rPr>
              <w:t>5.4废水监测质量保证和质量控制</w:t>
            </w:r>
          </w:p>
          <w:p>
            <w:pPr>
              <w:pStyle w:val="39"/>
              <w:widowControl/>
              <w:spacing w:after="0" w:line="560" w:lineRule="exact"/>
              <w:ind w:firstLine="480"/>
              <w:jc w:val="both"/>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样品采集、运输、保存、分析严格按照《环境水质监测质量保证手册》的技术要求和相关国家标准、技术规范进行；具体控制措施包括明码平行样，密码质控样，质控样数量达到样品总量的10%以上。</w:t>
            </w:r>
          </w:p>
          <w:p>
            <w:pPr>
              <w:pStyle w:val="39"/>
              <w:widowControl/>
              <w:spacing w:after="0" w:line="560" w:lineRule="exact"/>
              <w:ind w:left="0" w:leftChars="0" w:firstLine="0" w:firstLineChars="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5.5噪声监测质量保证和质量控制</w:t>
            </w:r>
          </w:p>
          <w:p>
            <w:pPr>
              <w:pStyle w:val="39"/>
              <w:widowControl/>
              <w:spacing w:after="0" w:line="560" w:lineRule="exact"/>
              <w:ind w:firstLine="480"/>
              <w:jc w:val="both"/>
              <w:rPr>
                <w:rFonts w:hint="default" w:ascii="Times New Roman" w:hAnsi="Times New Roman" w:eastAsia="宋体" w:cs="Times New Roman"/>
                <w:color w:val="0000FF"/>
              </w:rPr>
            </w:pPr>
            <w:r>
              <w:rPr>
                <w:rFonts w:hint="default" w:ascii="Times New Roman" w:hAnsi="Times New Roman" w:eastAsia="宋体" w:cs="Times New Roman"/>
                <w:color w:val="auto"/>
                <w:sz w:val="24"/>
                <w:szCs w:val="24"/>
                <w:highlight w:val="none"/>
              </w:rPr>
              <w:t>严格按照《环境监测技术规范》（噪声部分）和《工业企业厂界环境噪声排放标准》（GB 12348-2008）的有关规定执行。声级计测量前后均经标准声源校准且合格，测试时无风雪，风速小于5.0m/s，现场测试完毕对仪器再次进行校准并做好记录。</w:t>
            </w:r>
          </w:p>
        </w:tc>
      </w:tr>
    </w:tbl>
    <w:p>
      <w:pPr>
        <w:rPr>
          <w:rFonts w:hint="default" w:ascii="Times New Roman" w:hAnsi="Times New Roman" w:eastAsia="宋体" w:cs="Times New Roman"/>
          <w:color w:val="0000FF"/>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表六</w:t>
      </w:r>
    </w:p>
    <w:tbl>
      <w:tblPr>
        <w:tblStyle w:val="24"/>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34" w:type="dxa"/>
          </w:tcPr>
          <w:p>
            <w:pPr>
              <w:widowControl w:val="0"/>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6.1废气</w:t>
            </w:r>
          </w:p>
          <w:p>
            <w:pPr>
              <w:widowControl/>
              <w:spacing w:after="0" w:line="56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有组织采样、布点按照《固定源废气监测技术规范》（HJ/T397-2007）进行。</w:t>
            </w:r>
          </w:p>
          <w:p>
            <w:pPr>
              <w:widowControl/>
              <w:spacing w:after="0" w:line="560" w:lineRule="exact"/>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（1）监测项目：</w:t>
            </w:r>
            <w:r>
              <w:rPr>
                <w:rFonts w:hint="default" w:ascii="Times New Roman" w:hAnsi="Times New Roman" w:eastAsia="宋体" w:cs="Times New Roman"/>
                <w:color w:val="auto"/>
                <w:sz w:val="24"/>
                <w:szCs w:val="24"/>
                <w:lang w:eastAsia="zh-CN"/>
              </w:rPr>
              <w:t>废</w:t>
            </w:r>
            <w:r>
              <w:rPr>
                <w:rFonts w:hint="default" w:ascii="Times New Roman" w:hAnsi="Times New Roman" w:eastAsia="宋体" w:cs="Times New Roman"/>
                <w:color w:val="auto"/>
                <w:sz w:val="24"/>
                <w:szCs w:val="24"/>
                <w:lang w:val="en-US" w:eastAsia="zh-CN"/>
              </w:rPr>
              <w:t>气量、温度、</w:t>
            </w:r>
            <w:r>
              <w:rPr>
                <w:rFonts w:hint="default" w:ascii="Times New Roman" w:hAnsi="Times New Roman" w:eastAsia="宋体" w:cs="Times New Roman"/>
                <w:color w:val="auto"/>
                <w:sz w:val="24"/>
                <w:szCs w:val="24"/>
              </w:rPr>
              <w:t>排气筒高度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内径</w:t>
            </w:r>
            <w:r>
              <w:rPr>
                <w:rFonts w:hint="default" w:ascii="Times New Roman" w:hAnsi="Times New Roman" w:eastAsia="宋体" w:cs="Times New Roman"/>
                <w:color w:val="auto"/>
                <w:sz w:val="24"/>
                <w:szCs w:val="24"/>
                <w:lang w:eastAsia="zh-CN"/>
              </w:rPr>
              <w:t>等参数。</w:t>
            </w:r>
          </w:p>
          <w:p>
            <w:pPr>
              <w:widowControl/>
              <w:spacing w:after="0" w:line="560" w:lineRule="exact"/>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监测</w:t>
            </w:r>
            <w:r>
              <w:rPr>
                <w:rFonts w:hint="default" w:ascii="Times New Roman" w:hAnsi="Times New Roman" w:eastAsia="宋体" w:cs="Times New Roman"/>
                <w:color w:val="auto"/>
                <w:sz w:val="24"/>
                <w:szCs w:val="24"/>
                <w:highlight w:val="none"/>
              </w:rPr>
              <w:t>布点</w:t>
            </w:r>
            <w:r>
              <w:rPr>
                <w:rFonts w:hint="default" w:ascii="Times New Roman" w:hAnsi="Times New Roman" w:eastAsia="宋体" w:cs="Times New Roman"/>
                <w:color w:val="auto"/>
                <w:sz w:val="24"/>
                <w:szCs w:val="24"/>
                <w:highlight w:val="none"/>
                <w:lang w:eastAsia="zh-CN"/>
              </w:rPr>
              <w:t>：排气筒</w:t>
            </w:r>
            <w:r>
              <w:rPr>
                <w:rFonts w:hint="default" w:ascii="Times New Roman" w:hAnsi="Times New Roman" w:eastAsia="宋体" w:cs="Times New Roman"/>
                <w:color w:val="auto"/>
                <w:sz w:val="24"/>
                <w:szCs w:val="24"/>
                <w:highlight w:val="none"/>
                <w:lang w:val="en-US" w:eastAsia="zh-CN"/>
              </w:rPr>
              <w:t>P1</w:t>
            </w:r>
            <w:r>
              <w:rPr>
                <w:rFonts w:hint="eastAsia" w:ascii="Times New Roman" w:hAnsi="Times New Roman" w:eastAsia="宋体" w:cs="Times New Roman"/>
                <w:color w:val="auto"/>
                <w:sz w:val="24"/>
                <w:szCs w:val="24"/>
                <w:highlight w:val="none"/>
                <w:lang w:val="en-US" w:eastAsia="zh-CN"/>
              </w:rPr>
              <w:t>、P2</w:t>
            </w:r>
            <w:r>
              <w:rPr>
                <w:rFonts w:hint="default" w:ascii="Times New Roman" w:hAnsi="Times New Roman" w:eastAsia="宋体" w:cs="Times New Roman"/>
                <w:color w:val="auto"/>
                <w:sz w:val="24"/>
                <w:szCs w:val="24"/>
                <w:highlight w:val="none"/>
                <w:lang w:eastAsia="zh-CN"/>
              </w:rPr>
              <w:t>。</w:t>
            </w:r>
          </w:p>
          <w:p>
            <w:pPr>
              <w:widowControl/>
              <w:spacing w:after="0" w:line="560" w:lineRule="exact"/>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监测时间</w:t>
            </w:r>
            <w:r>
              <w:rPr>
                <w:rFonts w:hint="default" w:ascii="Times New Roman" w:hAnsi="Times New Roman" w:eastAsia="宋体" w:cs="Times New Roman"/>
                <w:color w:val="auto"/>
                <w:sz w:val="24"/>
                <w:szCs w:val="24"/>
                <w:lang w:eastAsia="zh-CN"/>
              </w:rPr>
              <w:t>与</w:t>
            </w:r>
            <w:r>
              <w:rPr>
                <w:rFonts w:hint="default" w:ascii="Times New Roman" w:hAnsi="Times New Roman" w:eastAsia="宋体" w:cs="Times New Roman"/>
                <w:color w:val="auto"/>
                <w:sz w:val="24"/>
                <w:szCs w:val="24"/>
              </w:rPr>
              <w:t>频次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监测</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天</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每天</w:t>
            </w:r>
            <w:r>
              <w:rPr>
                <w:rFonts w:hint="default" w:ascii="Times New Roman" w:hAnsi="Times New Roman" w:eastAsia="宋体" w:cs="Times New Roman"/>
                <w:color w:val="auto"/>
                <w:sz w:val="24"/>
                <w:szCs w:val="24"/>
              </w:rPr>
              <w:t>采样分析</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次</w:t>
            </w:r>
            <w:r>
              <w:rPr>
                <w:rFonts w:hint="default" w:ascii="Times New Roman" w:hAnsi="Times New Roman" w:eastAsia="宋体" w:cs="Times New Roman"/>
                <w:color w:val="auto"/>
                <w:sz w:val="24"/>
                <w:szCs w:val="24"/>
                <w:lang w:eastAsia="zh-CN"/>
              </w:rPr>
              <w:t>。</w:t>
            </w:r>
          </w:p>
          <w:p>
            <w:pPr>
              <w:widowControl/>
              <w:spacing w:after="0" w:line="560" w:lineRule="exact"/>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bCs/>
                <w:color w:val="auto"/>
                <w:kern w:val="2"/>
                <w:sz w:val="24"/>
                <w:szCs w:val="24"/>
                <w:highlight w:val="none"/>
              </w:rPr>
              <w:t>表</w:t>
            </w:r>
            <w:r>
              <w:rPr>
                <w:rFonts w:hint="default" w:ascii="Times New Roman" w:hAnsi="Times New Roman" w:eastAsia="宋体" w:cs="Times New Roman"/>
                <w:b/>
                <w:bCs/>
                <w:color w:val="auto"/>
                <w:sz w:val="24"/>
                <w:highlight w:val="none"/>
              </w:rPr>
              <w:t>6-</w:t>
            </w:r>
            <w:r>
              <w:rPr>
                <w:rFonts w:hint="eastAsia" w:ascii="Times New Roman" w:hAnsi="Times New Roman" w:eastAsia="宋体" w:cs="Times New Roman"/>
                <w:b/>
                <w:bCs/>
                <w:color w:val="auto"/>
                <w:sz w:val="24"/>
                <w:highlight w:val="none"/>
                <w:lang w:val="en-US" w:eastAsia="zh-CN"/>
              </w:rPr>
              <w:t xml:space="preserve">1 </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kern w:val="2"/>
                <w:sz w:val="24"/>
                <w:szCs w:val="24"/>
                <w:highlight w:val="none"/>
              </w:rPr>
              <w:t>有组织废气监测内容一览表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594"/>
              <w:gridCol w:w="1406"/>
              <w:gridCol w:w="2356"/>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5" w:type="pct"/>
                  <w:vAlign w:val="center"/>
                </w:tcPr>
                <w:p>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926" w:type="pct"/>
                  <w:vAlign w:val="center"/>
                </w:tcPr>
                <w:p>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817" w:type="pct"/>
                  <w:vAlign w:val="center"/>
                </w:tcPr>
                <w:p>
                  <w:pPr>
                    <w:spacing w:after="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监测</w:t>
                  </w:r>
                  <w:r>
                    <w:rPr>
                      <w:rFonts w:hint="default" w:ascii="Times New Roman" w:hAnsi="Times New Roman" w:eastAsia="宋体" w:cs="Times New Roman"/>
                      <w:b/>
                      <w:bCs/>
                      <w:color w:val="auto"/>
                      <w:sz w:val="21"/>
                      <w:szCs w:val="21"/>
                      <w:highlight w:val="none"/>
                      <w:lang w:eastAsia="zh-CN"/>
                    </w:rPr>
                    <w:t>因子</w:t>
                  </w:r>
                </w:p>
              </w:tc>
              <w:tc>
                <w:tcPr>
                  <w:tcW w:w="1369" w:type="pct"/>
                  <w:vAlign w:val="center"/>
                </w:tcPr>
                <w:p>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监测布点</w:t>
                  </w:r>
                </w:p>
              </w:tc>
              <w:tc>
                <w:tcPr>
                  <w:tcW w:w="1432" w:type="pct"/>
                  <w:vAlign w:val="center"/>
                </w:tcPr>
                <w:p>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5" w:type="pct"/>
                  <w:vAlign w:val="center"/>
                </w:tcPr>
                <w:p>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926" w:type="pct"/>
                  <w:vAlign w:val="center"/>
                </w:tcPr>
                <w:p>
                  <w:pPr>
                    <w:spacing w:after="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t>废气</w:t>
                  </w:r>
                  <w:r>
                    <w:rPr>
                      <w:rFonts w:hint="default" w:ascii="Times New Roman" w:hAnsi="Times New Roman" w:eastAsia="宋体" w:cs="Times New Roman"/>
                      <w:color w:val="auto"/>
                      <w:szCs w:val="21"/>
                      <w:highlight w:val="none"/>
                      <w:lang w:eastAsia="zh-CN"/>
                    </w:rPr>
                    <w:t>排气筒</w:t>
                  </w:r>
                  <w:r>
                    <w:rPr>
                      <w:rFonts w:hint="eastAsia" w:ascii="Times New Roman" w:hAnsi="Times New Roman" w:eastAsia="宋体" w:cs="Times New Roman"/>
                      <w:color w:val="auto"/>
                      <w:szCs w:val="21"/>
                      <w:highlight w:val="none"/>
                      <w:lang w:val="en-US" w:eastAsia="zh-CN"/>
                    </w:rPr>
                    <w:t>P1</w:t>
                  </w:r>
                </w:p>
              </w:tc>
              <w:tc>
                <w:tcPr>
                  <w:tcW w:w="817" w:type="pct"/>
                  <w:vAlign w:val="center"/>
                </w:tcPr>
                <w:p>
                  <w:pPr>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369" w:type="pct"/>
                  <w:vAlign w:val="center"/>
                </w:tcPr>
                <w:p>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出口1个</w:t>
                  </w:r>
                </w:p>
              </w:tc>
              <w:tc>
                <w:tcPr>
                  <w:tcW w:w="1432" w:type="pct"/>
                  <w:vAlign w:val="center"/>
                </w:tcPr>
                <w:p>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3次/天，连续监测2天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55" w:type="pct"/>
                  <w:vAlign w:val="center"/>
                </w:tcPr>
                <w:p>
                  <w:pPr>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926" w:type="pct"/>
                  <w:vAlign w:val="center"/>
                </w:tcPr>
                <w:p>
                  <w:pPr>
                    <w:spacing w:after="0"/>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废气</w:t>
                  </w:r>
                  <w:r>
                    <w:rPr>
                      <w:rFonts w:hint="default" w:ascii="Times New Roman" w:hAnsi="Times New Roman" w:eastAsia="宋体" w:cs="Times New Roman"/>
                      <w:color w:val="auto"/>
                      <w:szCs w:val="21"/>
                      <w:highlight w:val="none"/>
                      <w:lang w:eastAsia="zh-CN"/>
                    </w:rPr>
                    <w:t>排气筒</w:t>
                  </w:r>
                  <w:r>
                    <w:rPr>
                      <w:rFonts w:hint="eastAsia" w:ascii="Times New Roman" w:hAnsi="Times New Roman" w:eastAsia="宋体" w:cs="Times New Roman"/>
                      <w:color w:val="auto"/>
                      <w:szCs w:val="21"/>
                      <w:highlight w:val="none"/>
                      <w:lang w:val="en-US" w:eastAsia="zh-CN"/>
                    </w:rPr>
                    <w:t>P2</w:t>
                  </w:r>
                </w:p>
              </w:tc>
              <w:tc>
                <w:tcPr>
                  <w:tcW w:w="817" w:type="pct"/>
                  <w:vAlign w:val="center"/>
                </w:tcPr>
                <w:p>
                  <w:pPr>
                    <w:spacing w:after="0"/>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 w:val="21"/>
                      <w:szCs w:val="21"/>
                      <w:highlight w:val="none"/>
                      <w:lang w:val="en-US" w:eastAsia="zh-CN"/>
                    </w:rPr>
                    <w:t>颗粒物</w:t>
                  </w:r>
                </w:p>
              </w:tc>
              <w:tc>
                <w:tcPr>
                  <w:tcW w:w="1369" w:type="pct"/>
                  <w:vAlign w:val="center"/>
                </w:tcPr>
                <w:p>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出口1个</w:t>
                  </w:r>
                </w:p>
              </w:tc>
              <w:tc>
                <w:tcPr>
                  <w:tcW w:w="1432" w:type="pct"/>
                  <w:vAlign w:val="center"/>
                </w:tcPr>
                <w:p>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3次/天，连续监测2天</w:t>
                  </w:r>
                </w:p>
              </w:tc>
            </w:tr>
          </w:tbl>
          <w:p>
            <w:pPr>
              <w:keepNext w:val="0"/>
              <w:keepLines w:val="0"/>
              <w:pageBreakBefore w:val="0"/>
              <w:widowControl w:val="0"/>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6.2</w:t>
            </w:r>
            <w:r>
              <w:rPr>
                <w:rFonts w:hint="default" w:ascii="Times New Roman" w:hAnsi="Times New Roman" w:eastAsia="宋体" w:cs="Times New Roman"/>
                <w:b/>
                <w:bCs/>
                <w:color w:val="auto"/>
                <w:sz w:val="24"/>
                <w:szCs w:val="24"/>
                <w:lang w:eastAsia="zh-CN"/>
              </w:rPr>
              <w:t>废水</w:t>
            </w:r>
          </w:p>
          <w:p>
            <w:pPr>
              <w:pStyle w:val="2"/>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jc w:val="both"/>
              <w:textAlignment w:val="auto"/>
              <w:rPr>
                <w:rFonts w:hint="default" w:ascii="Times New Roman" w:hAnsi="Times New Roman" w:eastAsia="宋体" w:cs="Times New Roman"/>
                <w:snapToGrid/>
                <w:color w:val="auto"/>
                <w:sz w:val="24"/>
                <w:szCs w:val="24"/>
                <w:highlight w:val="none"/>
                <w:lang w:val="en-US" w:eastAsia="zh-CN" w:bidi="ar-SA"/>
              </w:rPr>
            </w:pPr>
            <w:r>
              <w:rPr>
                <w:rFonts w:hint="default" w:ascii="Times New Roman" w:hAnsi="Times New Roman" w:eastAsia="宋体" w:cs="Times New Roman"/>
                <w:snapToGrid/>
                <w:color w:val="auto"/>
                <w:sz w:val="24"/>
                <w:szCs w:val="24"/>
                <w:highlight w:val="none"/>
                <w:lang w:val="en-US" w:eastAsia="zh-CN" w:bidi="ar-SA"/>
              </w:rPr>
              <w:t>（1）监测项目：pH、COD、五日生化需氧量、氨氮、总磷、总氮、SS、溶解性总固体。</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default" w:ascii="Times New Roman" w:hAnsi="Times New Roman" w:eastAsia="宋体" w:cs="Times New Roman"/>
                <w:snapToGrid/>
                <w:color w:val="auto"/>
                <w:sz w:val="24"/>
                <w:szCs w:val="24"/>
                <w:lang w:val="en-US" w:eastAsia="zh-CN" w:bidi="ar-SA"/>
              </w:rPr>
            </w:pPr>
            <w:r>
              <w:rPr>
                <w:rFonts w:hint="default" w:ascii="Times New Roman" w:hAnsi="Times New Roman" w:eastAsia="宋体" w:cs="Times New Roman"/>
                <w:snapToGrid/>
                <w:color w:val="auto"/>
                <w:sz w:val="24"/>
                <w:szCs w:val="24"/>
                <w:lang w:val="en-US" w:eastAsia="zh-CN" w:bidi="ar-SA"/>
              </w:rPr>
              <w:t>（2）监测布点：废水排放口。</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default" w:ascii="Times New Roman" w:hAnsi="Times New Roman" w:eastAsia="宋体" w:cs="Times New Roman"/>
                <w:snapToGrid/>
                <w:color w:val="auto"/>
                <w:sz w:val="24"/>
                <w:szCs w:val="24"/>
                <w:lang w:val="en-US" w:eastAsia="zh-CN" w:bidi="ar-SA"/>
              </w:rPr>
            </w:pPr>
            <w:r>
              <w:rPr>
                <w:rFonts w:hint="default" w:ascii="Times New Roman" w:hAnsi="Times New Roman" w:eastAsia="宋体" w:cs="Times New Roman"/>
                <w:snapToGrid/>
                <w:color w:val="auto"/>
                <w:sz w:val="24"/>
                <w:szCs w:val="24"/>
                <w:lang w:val="en-US" w:eastAsia="zh-CN" w:bidi="ar-SA"/>
              </w:rPr>
              <w:t>（3）监测时间与频次：监测2天，每天采样分析4次。</w:t>
            </w:r>
          </w:p>
          <w:p>
            <w:pPr>
              <w:widowControl w:val="0"/>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6.</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噪声</w:t>
            </w:r>
          </w:p>
          <w:p>
            <w:pPr>
              <w:pStyle w:val="36"/>
              <w:spacing w:line="560" w:lineRule="exact"/>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根据项目运行过程中各个生产环节的产排污情况，对项目厂界噪声进行监测。</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项目噪声主要来</w:t>
            </w:r>
            <w:r>
              <w:rPr>
                <w:rFonts w:hint="default" w:ascii="Times New Roman" w:hAnsi="Times New Roman" w:eastAsia="宋体" w:cs="Times New Roman"/>
                <w:color w:val="auto"/>
                <w:sz w:val="24"/>
                <w:szCs w:val="24"/>
                <w:lang w:eastAsia="zh-CN"/>
              </w:rPr>
              <w:t>自锅炉设备</w:t>
            </w:r>
            <w:r>
              <w:rPr>
                <w:rFonts w:hint="default" w:ascii="Times New Roman" w:hAnsi="Times New Roman" w:eastAsia="宋体" w:cs="Times New Roman"/>
                <w:color w:val="auto"/>
                <w:sz w:val="24"/>
                <w:szCs w:val="24"/>
              </w:rPr>
              <w:t>运行产生的噪声。</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监测点位：根据噪声源及周围敏感点的分布，本次验收监测在厂区东、南、西、北厂界各布设1个噪声监测点位；</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监测项目：等效连续A声级（Leq）；</w:t>
            </w:r>
          </w:p>
          <w:p>
            <w:pPr>
              <w:widowControl w:val="0"/>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监测频次：监测2天，每天</w:t>
            </w:r>
            <w:r>
              <w:rPr>
                <w:rFonts w:hint="eastAsia" w:ascii="Times New Roman" w:hAnsi="Times New Roman" w:eastAsia="宋体" w:cs="Times New Roman"/>
                <w:color w:val="auto"/>
                <w:sz w:val="24"/>
                <w:szCs w:val="24"/>
                <w:lang w:eastAsia="zh-CN"/>
              </w:rPr>
              <w:t>昼、夜各</w:t>
            </w:r>
            <w:r>
              <w:rPr>
                <w:rFonts w:hint="default" w:ascii="Times New Roman" w:hAnsi="Times New Roman" w:eastAsia="宋体" w:cs="Times New Roman"/>
                <w:color w:val="auto"/>
                <w:sz w:val="24"/>
                <w:szCs w:val="24"/>
              </w:rPr>
              <w:t>监测1</w:t>
            </w:r>
            <w:r>
              <w:rPr>
                <w:rFonts w:hint="default" w:ascii="Times New Roman" w:hAnsi="Times New Roman" w:eastAsia="宋体" w:cs="Times New Roman"/>
                <w:color w:val="auto"/>
                <w:sz w:val="24"/>
                <w:szCs w:val="24"/>
                <w:lang w:eastAsia="zh-CN"/>
              </w:rPr>
              <w:t>次</w:t>
            </w:r>
            <w:r>
              <w:rPr>
                <w:rFonts w:hint="default" w:ascii="Times New Roman" w:hAnsi="Times New Roman" w:eastAsia="宋体" w:cs="Times New Roman"/>
                <w:color w:val="auto"/>
                <w:sz w:val="24"/>
                <w:szCs w:val="24"/>
              </w:rPr>
              <w:t>。</w:t>
            </w:r>
          </w:p>
          <w:p>
            <w:pPr>
              <w:pStyle w:val="37"/>
              <w:widowControl w:val="0"/>
              <w:spacing w:line="560" w:lineRule="exact"/>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表</w:t>
            </w:r>
            <w:r>
              <w:rPr>
                <w:rFonts w:hint="default" w:ascii="Times New Roman" w:hAnsi="Times New Roman" w:eastAsia="宋体" w:cs="Times New Roman"/>
                <w:color w:val="auto"/>
              </w:rPr>
              <w:t>6</w:t>
            </w:r>
            <w:r>
              <w:rPr>
                <w:rFonts w:hint="default" w:ascii="Times New Roman" w:hAnsi="Times New Roman" w:eastAsia="宋体" w:cs="Times New Roman"/>
                <w:color w:val="auto"/>
                <w:lang w:val="zh-CN"/>
              </w:rPr>
              <w:t>-</w:t>
            </w:r>
            <w:r>
              <w:rPr>
                <w:rFonts w:hint="eastAsia" w:eastAsia="宋体" w:cs="Times New Roman"/>
                <w:color w:val="auto"/>
                <w:lang w:val="en-US" w:eastAsia="zh-CN"/>
              </w:rPr>
              <w:t xml:space="preserve">2 </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zh-CN"/>
              </w:rPr>
              <w:t>噪声监测点位、频次、天数</w:t>
            </w:r>
          </w:p>
          <w:tbl>
            <w:tblPr>
              <w:tblStyle w:val="23"/>
              <w:tblW w:w="86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174"/>
              <w:gridCol w:w="44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74" w:type="dxa"/>
                  <w:tcBorders>
                    <w:tl2br w:val="nil"/>
                    <w:tr2bl w:val="nil"/>
                  </w:tcBorders>
                  <w:vAlign w:val="center"/>
                </w:tcPr>
                <w:p>
                  <w:pPr>
                    <w:spacing w:after="0"/>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噪声监测点位</w:t>
                  </w:r>
                </w:p>
              </w:tc>
              <w:tc>
                <w:tcPr>
                  <w:tcW w:w="4434" w:type="dxa"/>
                  <w:tcBorders>
                    <w:tl2br w:val="nil"/>
                    <w:tr2bl w:val="nil"/>
                  </w:tcBorders>
                  <w:vAlign w:val="center"/>
                </w:tcPr>
                <w:p>
                  <w:pPr>
                    <w:spacing w:after="0"/>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监测频次与天数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74" w:type="dxa"/>
                  <w:tcBorders>
                    <w:tl2br w:val="nil"/>
                    <w:tr2bl w:val="nil"/>
                  </w:tcBorders>
                  <w:vAlign w:val="center"/>
                </w:tcPr>
                <w:p>
                  <w:pPr>
                    <w:spacing w:after="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1#东厂界</w:t>
                  </w:r>
                </w:p>
              </w:tc>
              <w:tc>
                <w:tcPr>
                  <w:tcW w:w="4434" w:type="dxa"/>
                  <w:tcBorders>
                    <w:tl2br w:val="nil"/>
                    <w:tr2bl w:val="nil"/>
                  </w:tcBorders>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每天昼间监测1次，连续监测2天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74" w:type="dxa"/>
                  <w:tcBorders>
                    <w:tl2br w:val="nil"/>
                    <w:tr2bl w:val="nil"/>
                  </w:tcBorders>
                  <w:vAlign w:val="center"/>
                </w:tcPr>
                <w:p>
                  <w:pPr>
                    <w:spacing w:after="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2#南厂界</w:t>
                  </w:r>
                </w:p>
              </w:tc>
              <w:tc>
                <w:tcPr>
                  <w:tcW w:w="4434" w:type="dxa"/>
                  <w:tcBorders>
                    <w:tl2br w:val="nil"/>
                    <w:tr2bl w:val="nil"/>
                  </w:tcBorders>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每天昼间监测1次，连续监测2天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74" w:type="dxa"/>
                  <w:tcBorders>
                    <w:tl2br w:val="nil"/>
                    <w:tr2bl w:val="nil"/>
                  </w:tcBorders>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eastAsia="zh-CN"/>
                    </w:rPr>
                    <w:t>西</w:t>
                  </w:r>
                  <w:r>
                    <w:rPr>
                      <w:rFonts w:hint="default" w:ascii="Times New Roman" w:hAnsi="Times New Roman" w:eastAsia="宋体" w:cs="Times New Roman"/>
                      <w:color w:val="auto"/>
                      <w:sz w:val="21"/>
                      <w:szCs w:val="21"/>
                    </w:rPr>
                    <w:t>厂界</w:t>
                  </w:r>
                </w:p>
              </w:tc>
              <w:tc>
                <w:tcPr>
                  <w:tcW w:w="4434" w:type="dxa"/>
                  <w:tcBorders>
                    <w:tl2br w:val="nil"/>
                    <w:tr2bl w:val="nil"/>
                  </w:tcBorders>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每天昼间监测1次，连续监测2天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74" w:type="dxa"/>
                  <w:tcBorders>
                    <w:tl2br w:val="nil"/>
                    <w:tr2bl w:val="nil"/>
                  </w:tcBorders>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lang w:eastAsia="zh-CN"/>
                    </w:rPr>
                    <w:t>北</w:t>
                  </w:r>
                  <w:r>
                    <w:rPr>
                      <w:rFonts w:hint="default" w:ascii="Times New Roman" w:hAnsi="Times New Roman" w:eastAsia="宋体" w:cs="Times New Roman"/>
                      <w:color w:val="auto"/>
                      <w:sz w:val="21"/>
                      <w:szCs w:val="21"/>
                    </w:rPr>
                    <w:t>厂界</w:t>
                  </w:r>
                </w:p>
              </w:tc>
              <w:tc>
                <w:tcPr>
                  <w:tcW w:w="4434" w:type="dxa"/>
                  <w:tcBorders>
                    <w:tl2br w:val="nil"/>
                    <w:tr2bl w:val="nil"/>
                  </w:tcBorders>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每天昼间监测1次，连续监测2天</w:t>
                  </w:r>
                </w:p>
              </w:tc>
            </w:tr>
          </w:tbl>
          <w:p>
            <w:pPr>
              <w:widowControl w:val="0"/>
              <w:jc w:val="both"/>
              <w:rPr>
                <w:rFonts w:hint="default" w:ascii="Times New Roman" w:hAnsi="Times New Roman" w:eastAsia="宋体" w:cs="Times New Roman"/>
                <w:color w:val="0000FF"/>
              </w:rPr>
            </w:pP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r>
              <w:rPr>
                <w:rFonts w:hint="default" w:ascii="Times New Roman" w:hAnsi="Times New Roman" w:eastAsia="宋体" w:cs="Times New Roman"/>
                <w:color w:val="0000FF"/>
              </w:rPr>
              <w:br w:type="textWrapping"/>
            </w:r>
          </w:p>
        </w:tc>
      </w:tr>
    </w:tbl>
    <w:p>
      <w:pPr>
        <w:rPr>
          <w:rFonts w:hint="default" w:ascii="Times New Roman" w:hAnsi="Times New Roman" w:eastAsia="宋体" w:cs="Times New Roman"/>
          <w:color w:val="0000FF"/>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表七</w:t>
      </w:r>
    </w:p>
    <w:tbl>
      <w:tblPr>
        <w:tblStyle w:val="24"/>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0" w:hRule="atLeast"/>
        </w:trPr>
        <w:tc>
          <w:tcPr>
            <w:tcW w:w="8834" w:type="dxa"/>
          </w:tcPr>
          <w:p>
            <w:pPr>
              <w:widowControl/>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7.1验收监测期间生产工况记录</w:t>
            </w:r>
          </w:p>
          <w:p>
            <w:pPr>
              <w:widowControl w:val="0"/>
              <w:spacing w:after="0" w:line="5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监测时间：</w:t>
            </w:r>
            <w:r>
              <w:rPr>
                <w:rFonts w:hint="default" w:ascii="Times New Roman" w:hAnsi="Times New Roman" w:eastAsia="宋体" w:cs="Times New Roman"/>
                <w:color w:val="auto"/>
                <w:sz w:val="24"/>
                <w:szCs w:val="24"/>
                <w:highlight w:val="none"/>
                <w:lang w:eastAsia="zh-CN"/>
              </w:rPr>
              <w:t>2022年</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eastAsia="zh-CN"/>
              </w:rPr>
              <w:t>月</w:t>
            </w:r>
            <w:r>
              <w:rPr>
                <w:rFonts w:hint="default"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lang w:eastAsia="zh-CN"/>
              </w:rPr>
              <w:t>日-2022年</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eastAsia="zh-CN"/>
              </w:rPr>
              <w:t>月</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eastAsia="zh-CN"/>
              </w:rPr>
              <w:t>日</w:t>
            </w:r>
            <w:r>
              <w:rPr>
                <w:rFonts w:hint="default" w:ascii="Times New Roman" w:hAnsi="Times New Roman" w:eastAsia="宋体" w:cs="Times New Roman"/>
                <w:color w:val="auto"/>
                <w:sz w:val="24"/>
                <w:szCs w:val="24"/>
                <w:highlight w:val="none"/>
              </w:rPr>
              <w:t>。</w:t>
            </w:r>
          </w:p>
          <w:p>
            <w:pPr>
              <w:widowControl w:val="0"/>
              <w:spacing w:after="0" w:line="5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监测期间生产负荷见表7-1。</w:t>
            </w:r>
          </w:p>
          <w:p>
            <w:pPr>
              <w:pStyle w:val="37"/>
              <w:widowControl w:val="0"/>
              <w:spacing w:line="56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表7-1  验收期间实际生产负荷一览表</w:t>
            </w:r>
          </w:p>
          <w:tbl>
            <w:tblPr>
              <w:tblStyle w:val="23"/>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2778"/>
              <w:gridCol w:w="2223"/>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7" w:type="dxa"/>
                  <w:shd w:val="clear" w:color="auto" w:fill="auto"/>
                  <w:vAlign w:val="center"/>
                </w:tcPr>
                <w:p>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日  期</w:t>
                  </w:r>
                </w:p>
              </w:tc>
              <w:tc>
                <w:tcPr>
                  <w:tcW w:w="2778" w:type="dxa"/>
                  <w:shd w:val="clear" w:color="auto" w:fill="auto"/>
                  <w:vAlign w:val="center"/>
                </w:tcPr>
                <w:p>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设计产量</w:t>
                  </w:r>
                </w:p>
              </w:tc>
              <w:tc>
                <w:tcPr>
                  <w:tcW w:w="2223" w:type="dxa"/>
                  <w:shd w:val="clear" w:color="auto" w:fill="auto"/>
                  <w:vAlign w:val="center"/>
                </w:tcPr>
                <w:p>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实际产量</w:t>
                  </w:r>
                </w:p>
              </w:tc>
              <w:tc>
                <w:tcPr>
                  <w:tcW w:w="1700" w:type="dxa"/>
                  <w:shd w:val="clear" w:color="auto" w:fill="auto"/>
                  <w:vAlign w:val="center"/>
                </w:tcPr>
                <w:p>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运行负荷（%）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7" w:type="dxa"/>
                  <w:shd w:val="clear" w:color="auto" w:fill="auto"/>
                  <w:vAlign w:val="center"/>
                </w:tcPr>
                <w:p>
                  <w:pPr>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2022年</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月</w:t>
                  </w:r>
                  <w:r>
                    <w:rPr>
                      <w:rFonts w:hint="default"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eastAsia="zh-CN"/>
                    </w:rPr>
                    <w:t>日</w:t>
                  </w:r>
                </w:p>
              </w:tc>
              <w:tc>
                <w:tcPr>
                  <w:tcW w:w="2778" w:type="dxa"/>
                  <w:shd w:val="clear" w:color="auto" w:fill="auto"/>
                  <w:vAlign w:val="center"/>
                </w:tcPr>
                <w:p>
                  <w:pPr>
                    <w:spacing w:after="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木托盘</w:t>
                  </w:r>
                  <w:r>
                    <w:rPr>
                      <w:rFonts w:hint="eastAsia" w:ascii="Times New Roman" w:hAnsi="Times New Roman" w:eastAsia="宋体" w:cs="Times New Roman"/>
                      <w:color w:val="auto"/>
                      <w:kern w:val="2"/>
                      <w:sz w:val="21"/>
                      <w:szCs w:val="21"/>
                      <w:highlight w:val="none"/>
                      <w:lang w:val="en-US" w:eastAsia="zh-CN" w:bidi="ar-SA"/>
                    </w:rPr>
                    <w:t>533件</w:t>
                  </w:r>
                  <w:r>
                    <w:rPr>
                      <w:rFonts w:hint="default" w:ascii="Times New Roman" w:hAnsi="Times New Roman" w:eastAsia="宋体" w:cs="Times New Roman"/>
                      <w:color w:val="auto"/>
                      <w:kern w:val="2"/>
                      <w:sz w:val="21"/>
                      <w:szCs w:val="21"/>
                      <w:highlight w:val="none"/>
                      <w:lang w:val="en-US" w:eastAsia="zh-CN" w:bidi="ar-SA"/>
                    </w:rPr>
                    <w:t>、包装木箱</w:t>
                  </w:r>
                  <w:r>
                    <w:rPr>
                      <w:rFonts w:hint="eastAsia" w:ascii="Times New Roman" w:hAnsi="Times New Roman" w:eastAsia="宋体" w:cs="Times New Roman"/>
                      <w:color w:val="auto"/>
                      <w:kern w:val="2"/>
                      <w:sz w:val="21"/>
                      <w:szCs w:val="21"/>
                      <w:highlight w:val="none"/>
                      <w:lang w:val="en-US" w:eastAsia="zh-CN" w:bidi="ar-SA"/>
                    </w:rPr>
                    <w:t>466</w:t>
                  </w:r>
                  <w:r>
                    <w:rPr>
                      <w:rFonts w:hint="default" w:ascii="Times New Roman" w:hAnsi="Times New Roman" w:eastAsia="宋体" w:cs="Times New Roman"/>
                      <w:color w:val="auto"/>
                      <w:kern w:val="2"/>
                      <w:sz w:val="21"/>
                      <w:szCs w:val="21"/>
                      <w:highlight w:val="none"/>
                      <w:lang w:val="en-US" w:eastAsia="zh-CN" w:bidi="ar-SA"/>
                    </w:rPr>
                    <w:t>件</w:t>
                  </w:r>
                </w:p>
              </w:tc>
              <w:tc>
                <w:tcPr>
                  <w:tcW w:w="2223" w:type="dxa"/>
                  <w:shd w:val="clear" w:color="auto" w:fill="auto"/>
                  <w:vAlign w:val="center"/>
                </w:tcPr>
                <w:p>
                  <w:pPr>
                    <w:spacing w:after="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木托盘</w:t>
                  </w:r>
                  <w:r>
                    <w:rPr>
                      <w:rFonts w:hint="eastAsia" w:ascii="Times New Roman" w:hAnsi="Times New Roman" w:eastAsia="宋体" w:cs="Times New Roman"/>
                      <w:color w:val="auto"/>
                      <w:kern w:val="2"/>
                      <w:sz w:val="21"/>
                      <w:szCs w:val="21"/>
                      <w:highlight w:val="none"/>
                      <w:lang w:val="en-US" w:eastAsia="zh-CN" w:bidi="ar-SA"/>
                    </w:rPr>
                    <w:t>533件</w:t>
                  </w:r>
                  <w:r>
                    <w:rPr>
                      <w:rFonts w:hint="default" w:ascii="Times New Roman" w:hAnsi="Times New Roman" w:eastAsia="宋体" w:cs="Times New Roman"/>
                      <w:color w:val="auto"/>
                      <w:kern w:val="2"/>
                      <w:sz w:val="21"/>
                      <w:szCs w:val="21"/>
                      <w:highlight w:val="none"/>
                      <w:lang w:val="en-US" w:eastAsia="zh-CN" w:bidi="ar-SA"/>
                    </w:rPr>
                    <w:t>、包装木箱</w:t>
                  </w:r>
                  <w:r>
                    <w:rPr>
                      <w:rFonts w:hint="eastAsia" w:ascii="Times New Roman" w:hAnsi="Times New Roman" w:eastAsia="宋体" w:cs="Times New Roman"/>
                      <w:color w:val="auto"/>
                      <w:kern w:val="2"/>
                      <w:sz w:val="21"/>
                      <w:szCs w:val="21"/>
                      <w:highlight w:val="none"/>
                      <w:lang w:val="en-US" w:eastAsia="zh-CN" w:bidi="ar-SA"/>
                    </w:rPr>
                    <w:t>466</w:t>
                  </w:r>
                  <w:r>
                    <w:rPr>
                      <w:rFonts w:hint="default" w:ascii="Times New Roman" w:hAnsi="Times New Roman" w:eastAsia="宋体" w:cs="Times New Roman"/>
                      <w:color w:val="auto"/>
                      <w:kern w:val="2"/>
                      <w:sz w:val="21"/>
                      <w:szCs w:val="21"/>
                      <w:highlight w:val="none"/>
                      <w:lang w:val="en-US" w:eastAsia="zh-CN" w:bidi="ar-SA"/>
                    </w:rPr>
                    <w:t>件</w:t>
                  </w:r>
                </w:p>
              </w:tc>
              <w:tc>
                <w:tcPr>
                  <w:tcW w:w="1700" w:type="dxa"/>
                  <w:shd w:val="clear" w:color="auto" w:fill="auto"/>
                  <w:vAlign w:val="center"/>
                </w:tcPr>
                <w:p>
                  <w:pPr>
                    <w:spacing w:after="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7" w:type="dxa"/>
                  <w:shd w:val="clear" w:color="auto" w:fill="auto"/>
                  <w:vAlign w:val="center"/>
                </w:tcPr>
                <w:p>
                  <w:pPr>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2022年</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月</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eastAsia="zh-CN"/>
                    </w:rPr>
                    <w:t>日</w:t>
                  </w:r>
                </w:p>
              </w:tc>
              <w:tc>
                <w:tcPr>
                  <w:tcW w:w="2778" w:type="dxa"/>
                  <w:shd w:val="clear" w:color="auto" w:fill="auto"/>
                  <w:vAlign w:val="center"/>
                </w:tcPr>
                <w:p>
                  <w:pPr>
                    <w:spacing w:after="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木托盘</w:t>
                  </w:r>
                  <w:r>
                    <w:rPr>
                      <w:rFonts w:hint="eastAsia" w:ascii="Times New Roman" w:hAnsi="Times New Roman" w:eastAsia="宋体" w:cs="Times New Roman"/>
                      <w:color w:val="auto"/>
                      <w:kern w:val="2"/>
                      <w:sz w:val="21"/>
                      <w:szCs w:val="21"/>
                      <w:highlight w:val="none"/>
                      <w:lang w:val="en-US" w:eastAsia="zh-CN" w:bidi="ar-SA"/>
                    </w:rPr>
                    <w:t>533件</w:t>
                  </w:r>
                  <w:r>
                    <w:rPr>
                      <w:rFonts w:hint="default" w:ascii="Times New Roman" w:hAnsi="Times New Roman" w:eastAsia="宋体" w:cs="Times New Roman"/>
                      <w:color w:val="auto"/>
                      <w:kern w:val="2"/>
                      <w:sz w:val="21"/>
                      <w:szCs w:val="21"/>
                      <w:highlight w:val="none"/>
                      <w:lang w:val="en-US" w:eastAsia="zh-CN" w:bidi="ar-SA"/>
                    </w:rPr>
                    <w:t>、包装木箱</w:t>
                  </w:r>
                  <w:r>
                    <w:rPr>
                      <w:rFonts w:hint="eastAsia" w:ascii="Times New Roman" w:hAnsi="Times New Roman" w:eastAsia="宋体" w:cs="Times New Roman"/>
                      <w:color w:val="auto"/>
                      <w:kern w:val="2"/>
                      <w:sz w:val="21"/>
                      <w:szCs w:val="21"/>
                      <w:highlight w:val="none"/>
                      <w:lang w:val="en-US" w:eastAsia="zh-CN" w:bidi="ar-SA"/>
                    </w:rPr>
                    <w:t>466</w:t>
                  </w:r>
                  <w:r>
                    <w:rPr>
                      <w:rFonts w:hint="default" w:ascii="Times New Roman" w:hAnsi="Times New Roman" w:eastAsia="宋体" w:cs="Times New Roman"/>
                      <w:color w:val="auto"/>
                      <w:kern w:val="2"/>
                      <w:sz w:val="21"/>
                      <w:szCs w:val="21"/>
                      <w:highlight w:val="none"/>
                      <w:lang w:val="en-US" w:eastAsia="zh-CN" w:bidi="ar-SA"/>
                    </w:rPr>
                    <w:t>件</w:t>
                  </w:r>
                </w:p>
              </w:tc>
              <w:tc>
                <w:tcPr>
                  <w:tcW w:w="2223" w:type="dxa"/>
                  <w:shd w:val="clear" w:color="auto" w:fill="auto"/>
                  <w:vAlign w:val="center"/>
                </w:tcPr>
                <w:p>
                  <w:pPr>
                    <w:spacing w:after="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木托盘</w:t>
                  </w:r>
                  <w:r>
                    <w:rPr>
                      <w:rFonts w:hint="eastAsia" w:ascii="Times New Roman" w:hAnsi="Times New Roman" w:eastAsia="宋体" w:cs="Times New Roman"/>
                      <w:color w:val="auto"/>
                      <w:kern w:val="2"/>
                      <w:sz w:val="21"/>
                      <w:szCs w:val="21"/>
                      <w:highlight w:val="none"/>
                      <w:lang w:val="en-US" w:eastAsia="zh-CN" w:bidi="ar-SA"/>
                    </w:rPr>
                    <w:t>533件</w:t>
                  </w:r>
                  <w:r>
                    <w:rPr>
                      <w:rFonts w:hint="default" w:ascii="Times New Roman" w:hAnsi="Times New Roman" w:eastAsia="宋体" w:cs="Times New Roman"/>
                      <w:color w:val="auto"/>
                      <w:kern w:val="2"/>
                      <w:sz w:val="21"/>
                      <w:szCs w:val="21"/>
                      <w:highlight w:val="none"/>
                      <w:lang w:val="en-US" w:eastAsia="zh-CN" w:bidi="ar-SA"/>
                    </w:rPr>
                    <w:t>、包装木箱</w:t>
                  </w:r>
                  <w:r>
                    <w:rPr>
                      <w:rFonts w:hint="eastAsia" w:ascii="Times New Roman" w:hAnsi="Times New Roman" w:eastAsia="宋体" w:cs="Times New Roman"/>
                      <w:color w:val="auto"/>
                      <w:kern w:val="2"/>
                      <w:sz w:val="21"/>
                      <w:szCs w:val="21"/>
                      <w:highlight w:val="none"/>
                      <w:lang w:val="en-US" w:eastAsia="zh-CN" w:bidi="ar-SA"/>
                    </w:rPr>
                    <w:t>466</w:t>
                  </w:r>
                  <w:r>
                    <w:rPr>
                      <w:rFonts w:hint="default" w:ascii="Times New Roman" w:hAnsi="Times New Roman" w:eastAsia="宋体" w:cs="Times New Roman"/>
                      <w:color w:val="auto"/>
                      <w:kern w:val="2"/>
                      <w:sz w:val="21"/>
                      <w:szCs w:val="21"/>
                      <w:highlight w:val="none"/>
                      <w:lang w:val="en-US" w:eastAsia="zh-CN" w:bidi="ar-SA"/>
                    </w:rPr>
                    <w:t>件</w:t>
                  </w:r>
                </w:p>
              </w:tc>
              <w:tc>
                <w:tcPr>
                  <w:tcW w:w="1700" w:type="dxa"/>
                  <w:shd w:val="clear" w:color="auto" w:fill="auto"/>
                  <w:vAlign w:val="center"/>
                </w:tcPr>
                <w:p>
                  <w:pPr>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w:t>
                  </w:r>
                </w:p>
              </w:tc>
            </w:tr>
          </w:tbl>
          <w:p>
            <w:pPr>
              <w:widowControl/>
              <w:spacing w:after="0" w:line="560" w:lineRule="exact"/>
              <w:ind w:firstLine="480" w:firstLineChars="200"/>
              <w:jc w:val="both"/>
              <w:rPr>
                <w:rFonts w:hint="default" w:ascii="Times New Roman" w:hAnsi="Times New Roman" w:eastAsia="宋体" w:cs="Times New Roman"/>
                <w:color w:val="0000FF"/>
                <w:sz w:val="24"/>
                <w:szCs w:val="24"/>
              </w:rPr>
            </w:pPr>
            <w:r>
              <w:rPr>
                <w:rFonts w:hint="default" w:ascii="Times New Roman" w:hAnsi="Times New Roman" w:eastAsia="宋体" w:cs="Times New Roman"/>
                <w:color w:val="auto"/>
                <w:sz w:val="24"/>
                <w:szCs w:val="24"/>
                <w:highlight w:val="none"/>
              </w:rPr>
              <w:t>监测期间，该项目车间运行正常，各生产设施、环境保护设施均正常运转。由表7-1可知，验收监测期间生产工况稳定，生产负荷为</w:t>
            </w:r>
            <w:r>
              <w:rPr>
                <w:rFonts w:hint="default"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widowControl w:val="0"/>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7.2验收监测结果</w:t>
            </w:r>
          </w:p>
          <w:p>
            <w:pPr>
              <w:widowControl w:val="0"/>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7.2.1废气</w:t>
            </w:r>
          </w:p>
          <w:p>
            <w:pPr>
              <w:widowControl/>
              <w:spacing w:after="0" w:line="5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rPr>
              <w:t>废气检测结果如下</w:t>
            </w:r>
            <w:r>
              <w:rPr>
                <w:rFonts w:hint="default" w:ascii="Times New Roman" w:hAnsi="Times New Roman" w:eastAsia="宋体" w:cs="Times New Roman"/>
                <w:color w:val="auto"/>
                <w:sz w:val="24"/>
                <w:szCs w:val="24"/>
              </w:rPr>
              <w:t>。</w:t>
            </w:r>
          </w:p>
          <w:p>
            <w:pPr>
              <w:pStyle w:val="37"/>
              <w:widowControl w:val="0"/>
              <w:spacing w:line="56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表</w:t>
            </w:r>
            <w:r>
              <w:rPr>
                <w:rFonts w:hint="default" w:ascii="Times New Roman" w:hAnsi="Times New Roman" w:eastAsia="宋体" w:cs="Times New Roman"/>
                <w:color w:val="auto"/>
                <w:highlight w:val="none"/>
              </w:rPr>
              <w:t>7</w:t>
            </w:r>
            <w:r>
              <w:rPr>
                <w:rFonts w:hint="default" w:ascii="Times New Roman" w:hAnsi="Times New Roman" w:eastAsia="宋体" w:cs="Times New Roman"/>
                <w:color w:val="auto"/>
                <w:highlight w:val="none"/>
                <w:lang w:val="zh-CN"/>
              </w:rPr>
              <w:t>-</w:t>
            </w:r>
            <w:r>
              <w:rPr>
                <w:rFonts w:hint="default" w:ascii="Times New Roman" w:hAnsi="Times New Roman" w:eastAsia="宋体" w:cs="Times New Roman"/>
                <w:color w:val="auto"/>
                <w:highlight w:val="none"/>
              </w:rPr>
              <w:t>2 有组织废气检测结果</w:t>
            </w:r>
          </w:p>
          <w:tbl>
            <w:tblPr>
              <w:tblStyle w:val="23"/>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387"/>
              <w:gridCol w:w="1041"/>
              <w:gridCol w:w="928"/>
              <w:gridCol w:w="273"/>
              <w:gridCol w:w="1017"/>
              <w:gridCol w:w="176"/>
              <w:gridCol w:w="770"/>
              <w:gridCol w:w="429"/>
              <w:gridCol w:w="7"/>
              <w:gridCol w:w="1135"/>
              <w:gridCol w:w="50"/>
              <w:gridCol w:w="1192"/>
              <w:gridCol w:w="11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97" w:hRule="atLeast"/>
                <w:jc w:val="center"/>
              </w:trPr>
              <w:tc>
                <w:tcPr>
                  <w:tcW w:w="113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采样点位</w:t>
                  </w:r>
                </w:p>
              </w:tc>
              <w:tc>
                <w:tcPr>
                  <w:tcW w:w="3860" w:type="pct"/>
                  <w:gridSpan w:val="11"/>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P1废气排气筒出口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113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测点截面积（m2）</w:t>
                  </w:r>
                </w:p>
              </w:tc>
              <w:tc>
                <w:tcPr>
                  <w:tcW w:w="4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0.2375</w:t>
                  </w:r>
                </w:p>
              </w:tc>
              <w:tc>
                <w:tcPr>
                  <w:tcW w:w="695"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排气筒高度（m）</w:t>
                  </w:r>
                </w:p>
              </w:tc>
              <w:tc>
                <w:tcPr>
                  <w:tcW w:w="505"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846"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废气治理措施</w:t>
                  </w:r>
                </w:p>
              </w:tc>
              <w:tc>
                <w:tcPr>
                  <w:tcW w:w="1316"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脉冲布袋除尘器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63" w:hRule="atLeast"/>
                <w:jc w:val="center"/>
              </w:trPr>
              <w:tc>
                <w:tcPr>
                  <w:tcW w:w="113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采样时间</w:t>
                  </w:r>
                </w:p>
              </w:tc>
              <w:tc>
                <w:tcPr>
                  <w:tcW w:w="1930" w:type="pct"/>
                  <w:gridSpan w:val="7"/>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2022年10月19日</w:t>
                  </w:r>
                </w:p>
              </w:tc>
              <w:tc>
                <w:tcPr>
                  <w:tcW w:w="1930" w:type="pct"/>
                  <w:gridSpan w:val="4"/>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2022年10月20日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113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采样频次</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642"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64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64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113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烟气温度（℃）</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642"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64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64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113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标干流量（Nm3/h）</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12551</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12647</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12886</w:t>
                  </w:r>
                </w:p>
              </w:tc>
              <w:tc>
                <w:tcPr>
                  <w:tcW w:w="642"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12679</w:t>
                  </w:r>
                </w:p>
              </w:tc>
              <w:tc>
                <w:tcPr>
                  <w:tcW w:w="64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12493</w:t>
                  </w:r>
                </w:p>
              </w:tc>
              <w:tc>
                <w:tcPr>
                  <w:tcW w:w="64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12363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490"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648"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样品编号</w:t>
                  </w:r>
                </w:p>
              </w:tc>
              <w:tc>
                <w:tcPr>
                  <w:tcW w:w="642" w:type="pct"/>
                  <w:gridSpan w:val="2"/>
                  <w:tcBorders>
                    <w:tl2br w:val="nil"/>
                    <w:tr2bl w:val="nil"/>
                  </w:tcBorders>
                  <w:noWrap w:val="0"/>
                  <w:vAlign w:val="bottom"/>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2210302Y004</w:t>
                  </w:r>
                </w:p>
              </w:tc>
              <w:tc>
                <w:tcPr>
                  <w:tcW w:w="642" w:type="pct"/>
                  <w:gridSpan w:val="2"/>
                  <w:tcBorders>
                    <w:tl2br w:val="nil"/>
                    <w:tr2bl w:val="nil"/>
                  </w:tcBorders>
                  <w:noWrap w:val="0"/>
                  <w:vAlign w:val="bottom"/>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2210302Y005</w:t>
                  </w:r>
                </w:p>
              </w:tc>
              <w:tc>
                <w:tcPr>
                  <w:tcW w:w="642" w:type="pct"/>
                  <w:gridSpan w:val="2"/>
                  <w:tcBorders>
                    <w:tl2br w:val="nil"/>
                    <w:tr2bl w:val="nil"/>
                  </w:tcBorders>
                  <w:noWrap w:val="0"/>
                  <w:vAlign w:val="bottom"/>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2210302Y006</w:t>
                  </w:r>
                </w:p>
              </w:tc>
              <w:tc>
                <w:tcPr>
                  <w:tcW w:w="642" w:type="pct"/>
                  <w:gridSpan w:val="3"/>
                  <w:tcBorders>
                    <w:tl2br w:val="nil"/>
                    <w:tr2bl w:val="nil"/>
                  </w:tcBorders>
                  <w:noWrap w:val="0"/>
                  <w:vAlign w:val="bottom"/>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2210302Y016</w:t>
                  </w:r>
                </w:p>
              </w:tc>
              <w:tc>
                <w:tcPr>
                  <w:tcW w:w="642" w:type="pct"/>
                  <w:tcBorders>
                    <w:tl2br w:val="nil"/>
                    <w:tr2bl w:val="nil"/>
                  </w:tcBorders>
                  <w:noWrap w:val="0"/>
                  <w:vAlign w:val="bottom"/>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2210302Y017</w:t>
                  </w:r>
                </w:p>
              </w:tc>
              <w:tc>
                <w:tcPr>
                  <w:tcW w:w="646" w:type="pct"/>
                  <w:tcBorders>
                    <w:tl2br w:val="nil"/>
                    <w:tr2bl w:val="nil"/>
                  </w:tcBorders>
                  <w:noWrap w:val="0"/>
                  <w:vAlign w:val="bottom"/>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2210302Y018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490"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48"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实测浓度（mg/m3）</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642"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64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64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490"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48"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0.0213</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0.0228</w:t>
                  </w:r>
                </w:p>
              </w:tc>
              <w:tc>
                <w:tcPr>
                  <w:tcW w:w="64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0.0206</w:t>
                  </w:r>
                </w:p>
              </w:tc>
              <w:tc>
                <w:tcPr>
                  <w:tcW w:w="642"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0.0190</w:t>
                  </w:r>
                </w:p>
              </w:tc>
              <w:tc>
                <w:tcPr>
                  <w:tcW w:w="64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0.0200</w:t>
                  </w:r>
                </w:p>
              </w:tc>
              <w:tc>
                <w:tcPr>
                  <w:tcW w:w="64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86" w:hRule="atLeast"/>
                <w:jc w:val="center"/>
              </w:trPr>
              <w:tc>
                <w:tcPr>
                  <w:tcW w:w="113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c>
                <w:tcPr>
                  <w:tcW w:w="3860" w:type="pct"/>
                  <w:gridSpan w:val="11"/>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widowControl/>
              <w:spacing w:after="0" w:line="560" w:lineRule="exact"/>
              <w:ind w:firstLine="480" w:firstLineChars="200"/>
              <w:jc w:val="both"/>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eastAsiaTheme="minorEastAsia"/>
                <w:color w:val="auto"/>
                <w:sz w:val="24"/>
                <w:szCs w:val="24"/>
                <w:highlight w:val="none"/>
              </w:rPr>
              <w:t>根据检测结果可知，</w:t>
            </w:r>
            <w:r>
              <w:rPr>
                <w:rFonts w:hint="default" w:ascii="Times New Roman" w:hAnsi="Times New Roman" w:cs="Times New Roman" w:eastAsiaTheme="minorEastAsia"/>
                <w:sz w:val="24"/>
                <w:szCs w:val="24"/>
                <w:highlight w:val="none"/>
              </w:rPr>
              <w:t>验收监</w:t>
            </w:r>
            <w:r>
              <w:rPr>
                <w:rFonts w:hint="default" w:ascii="Times New Roman" w:hAnsi="Times New Roman" w:cs="Times New Roman" w:eastAsiaTheme="minorEastAsia"/>
                <w:color w:val="auto"/>
                <w:sz w:val="24"/>
                <w:szCs w:val="24"/>
                <w:highlight w:val="none"/>
              </w:rPr>
              <w:t>测期间</w:t>
            </w:r>
            <w:r>
              <w:rPr>
                <w:rFonts w:hint="default" w:ascii="Times New Roman" w:hAnsi="Times New Roman" w:cs="Times New Roman" w:eastAsiaTheme="minorEastAsia"/>
                <w:color w:val="auto"/>
                <w:sz w:val="24"/>
                <w:szCs w:val="24"/>
                <w:highlight w:val="none"/>
                <w:lang w:val="en-US" w:eastAsia="zh-CN"/>
              </w:rPr>
              <w:t>废气排气筒P1环保设备出口</w:t>
            </w:r>
            <w:r>
              <w:rPr>
                <w:rFonts w:hint="default" w:ascii="Times New Roman" w:hAnsi="Times New Roman" w:cs="Times New Roman" w:eastAsiaTheme="minorEastAsia"/>
                <w:sz w:val="24"/>
                <w:szCs w:val="24"/>
                <w:highlight w:val="none"/>
              </w:rPr>
              <w:t>有组织废气</w:t>
            </w:r>
            <w:r>
              <w:rPr>
                <w:rFonts w:hint="eastAsia" w:ascii="Times New Roman" w:hAnsi="Times New Roman" w:cs="Times New Roman" w:eastAsiaTheme="minorEastAsia"/>
                <w:sz w:val="24"/>
                <w:szCs w:val="24"/>
                <w:highlight w:val="none"/>
                <w:lang w:eastAsia="zh-CN"/>
              </w:rPr>
              <w:t>颗粒物</w:t>
            </w:r>
            <w:r>
              <w:rPr>
                <w:rFonts w:hint="default" w:ascii="Times New Roman" w:hAnsi="Times New Roman" w:cs="Times New Roman" w:eastAsiaTheme="minorEastAsia"/>
                <w:sz w:val="24"/>
                <w:szCs w:val="24"/>
                <w:highlight w:val="none"/>
              </w:rPr>
              <w:t>最大排放浓度为</w:t>
            </w:r>
            <w:r>
              <w:rPr>
                <w:rFonts w:hint="eastAsia" w:ascii="Times New Roman" w:hAnsi="Times New Roman" w:cs="Times New Roman" w:eastAsiaTheme="minorEastAsia"/>
                <w:color w:val="auto"/>
                <w:sz w:val="24"/>
                <w:szCs w:val="24"/>
                <w:highlight w:val="none"/>
                <w:lang w:val="en-US" w:eastAsia="zh-CN"/>
              </w:rPr>
              <w:t>1.8</w:t>
            </w:r>
            <w:r>
              <w:rPr>
                <w:rFonts w:hint="default" w:ascii="Times New Roman" w:hAnsi="Times New Roman" w:cs="Times New Roman" w:eastAsiaTheme="minorEastAsia"/>
                <w:color w:val="auto"/>
                <w:sz w:val="24"/>
                <w:szCs w:val="24"/>
                <w:highlight w:val="none"/>
                <w:lang w:val="en-US" w:eastAsia="zh-CN"/>
              </w:rPr>
              <w:t>mg/m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lang w:val="en-US" w:eastAsia="zh-CN"/>
              </w:rPr>
              <w:t>，最大排放速率为</w:t>
            </w:r>
            <w:r>
              <w:rPr>
                <w:rFonts w:hint="eastAsia" w:ascii="Times New Roman" w:hAnsi="Times New Roman" w:cs="Times New Roman" w:eastAsiaTheme="minorEastAsia"/>
                <w:color w:val="auto"/>
                <w:sz w:val="24"/>
                <w:szCs w:val="24"/>
                <w:highlight w:val="none"/>
                <w:lang w:val="en-US" w:eastAsia="zh-CN"/>
              </w:rPr>
              <w:t>0.0228</w:t>
            </w:r>
            <w:r>
              <w:rPr>
                <w:rFonts w:hint="default" w:ascii="Times New Roman" w:hAnsi="Times New Roman" w:cs="Times New Roman" w:eastAsiaTheme="minorEastAsia"/>
                <w:color w:val="auto"/>
                <w:sz w:val="24"/>
                <w:szCs w:val="24"/>
                <w:highlight w:val="none"/>
                <w:lang w:val="en-US" w:eastAsia="zh-CN"/>
              </w:rPr>
              <w:t>kg/h，</w:t>
            </w:r>
            <w:r>
              <w:rPr>
                <w:rFonts w:hint="eastAsia" w:ascii="Times New Roman" w:hAnsi="Times New Roman" w:cs="Times New Roman" w:eastAsiaTheme="minorEastAsia"/>
                <w:color w:val="auto"/>
                <w:sz w:val="24"/>
                <w:szCs w:val="24"/>
                <w:highlight w:val="none"/>
                <w:lang w:val="en-US" w:eastAsia="zh-CN"/>
              </w:rPr>
              <w:t>颗粒物满足</w:t>
            </w:r>
            <w:r>
              <w:rPr>
                <w:rFonts w:hint="default" w:ascii="Times New Roman" w:hAnsi="Times New Roman" w:eastAsia="宋体" w:cs="Times New Roman"/>
                <w:color w:val="auto"/>
                <w:sz w:val="24"/>
                <w:highlight w:val="none"/>
                <w:lang w:val="en-US" w:eastAsia="zh-CN"/>
              </w:rPr>
              <w:t>《区域性大气污染物综合排放标准》（DB37/2376-2019）表1重点控制区排放浓度限值（颗粒物：10mg/m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），排放速率</w:t>
            </w:r>
            <w:r>
              <w:rPr>
                <w:rFonts w:hint="eastAsia"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lang w:val="en-US" w:eastAsia="zh-CN"/>
              </w:rPr>
              <w:t>《大气污染物综合排放标准》（GB16297-1996）表2排放速率限值（15m，3.5kg/h）</w:t>
            </w:r>
            <w:r>
              <w:rPr>
                <w:rFonts w:hint="default" w:ascii="Times New Roman" w:hAnsi="Times New Roman" w:cs="Times New Roman" w:eastAsiaTheme="minorEastAsia"/>
                <w:sz w:val="24"/>
                <w:szCs w:val="24"/>
                <w:highlight w:val="none"/>
                <w:lang w:eastAsia="zh-CN"/>
              </w:rPr>
              <w:t>。</w:t>
            </w:r>
            <w:r>
              <w:rPr>
                <w:rFonts w:hint="default" w:ascii="Times New Roman" w:hAnsi="Times New Roman" w:eastAsia="宋体" w:cs="Times New Roman"/>
                <w:color w:val="auto"/>
                <w:sz w:val="24"/>
                <w:highlight w:val="none"/>
              </w:rPr>
              <w:t>项目年工作</w:t>
            </w:r>
            <w:r>
              <w:rPr>
                <w:rFonts w:hint="eastAsia" w:ascii="Times New Roman" w:hAnsi="Times New Roman" w:eastAsia="宋体" w:cs="Times New Roman"/>
                <w:color w:val="auto"/>
                <w:sz w:val="24"/>
                <w:highlight w:val="none"/>
                <w:lang w:val="en-US" w:eastAsia="zh-CN"/>
              </w:rPr>
              <w:t>2400</w:t>
            </w:r>
            <w:r>
              <w:rPr>
                <w:rFonts w:hint="default" w:ascii="Times New Roman" w:hAnsi="Times New Roman" w:eastAsia="宋体" w:cs="Times New Roman"/>
                <w:color w:val="auto"/>
                <w:sz w:val="24"/>
                <w:highlight w:val="none"/>
                <w:lang w:val="en-US" w:eastAsia="zh-CN"/>
              </w:rPr>
              <w:t>h</w:t>
            </w:r>
            <w:r>
              <w:rPr>
                <w:rFonts w:hint="default" w:ascii="Times New Roman" w:hAnsi="Times New Roman" w:eastAsia="宋体" w:cs="Times New Roman"/>
                <w:color w:val="auto"/>
                <w:sz w:val="24"/>
                <w:highlight w:val="none"/>
              </w:rPr>
              <w:t>，则</w:t>
            </w:r>
            <w:r>
              <w:rPr>
                <w:rFonts w:hint="default" w:ascii="Times New Roman" w:hAnsi="Times New Roman" w:eastAsia="宋体" w:cs="Times New Roman"/>
                <w:color w:val="auto"/>
                <w:sz w:val="24"/>
                <w:highlight w:val="none"/>
                <w:lang w:val="en-US" w:eastAsia="zh-CN"/>
              </w:rPr>
              <w:t>废气排气筒P1</w:t>
            </w:r>
            <w:r>
              <w:rPr>
                <w:rFonts w:hint="default" w:ascii="Times New Roman" w:hAnsi="Times New Roman" w:eastAsia="宋体" w:cs="Times New Roman"/>
                <w:color w:val="auto"/>
                <w:sz w:val="24"/>
                <w:highlight w:val="none"/>
              </w:rPr>
              <w:t>有组织</w:t>
            </w:r>
            <w:r>
              <w:rPr>
                <w:rFonts w:hint="eastAsia" w:ascii="Times New Roman" w:hAnsi="Times New Roman" w:cs="Times New Roman" w:eastAsiaTheme="minorEastAsia"/>
                <w:sz w:val="24"/>
                <w:szCs w:val="24"/>
                <w:highlight w:val="none"/>
                <w:lang w:eastAsia="zh-CN"/>
              </w:rPr>
              <w:t>颗粒物</w:t>
            </w:r>
            <w:r>
              <w:rPr>
                <w:rFonts w:hint="default" w:ascii="Times New Roman" w:hAnsi="Times New Roman" w:eastAsia="宋体" w:cs="Times New Roman"/>
                <w:color w:val="auto"/>
                <w:sz w:val="24"/>
                <w:highlight w:val="none"/>
                <w:lang w:eastAsia="zh-CN"/>
              </w:rPr>
              <w:t>排放量</w:t>
            </w:r>
            <w:r>
              <w:rPr>
                <w:rFonts w:hint="eastAsia" w:ascii="Times New Roman" w:hAnsi="Times New Roman" w:eastAsia="宋体" w:cs="Times New Roman"/>
                <w:color w:val="auto"/>
                <w:sz w:val="24"/>
                <w:highlight w:val="none"/>
                <w:lang w:val="en-US" w:eastAsia="zh-CN"/>
              </w:rPr>
              <w:t>0.05</w:t>
            </w:r>
            <w:r>
              <w:rPr>
                <w:rFonts w:hint="default" w:ascii="Times New Roman" w:hAnsi="Times New Roman" w:eastAsia="宋体" w:cs="Times New Roman"/>
                <w:color w:val="auto"/>
                <w:sz w:val="24"/>
                <w:highlight w:val="none"/>
                <w:lang w:eastAsia="zh-CN"/>
              </w:rPr>
              <w:t>t/a</w:t>
            </w:r>
            <w:r>
              <w:rPr>
                <w:rFonts w:hint="default" w:ascii="Times New Roman" w:hAnsi="Times New Roman" w:eastAsia="宋体" w:cs="Times New Roman"/>
                <w:color w:val="auto"/>
                <w:sz w:val="24"/>
                <w:highlight w:val="none"/>
              </w:rPr>
              <w:t>。</w:t>
            </w:r>
          </w:p>
          <w:p>
            <w:pPr>
              <w:pStyle w:val="37"/>
              <w:widowControl w:val="0"/>
              <w:spacing w:line="560" w:lineRule="exact"/>
              <w:rPr>
                <w:rFonts w:hint="default" w:ascii="Times New Roman" w:hAnsi="Times New Roman" w:eastAsia="宋体" w:cs="Times New Roman"/>
                <w:color w:val="auto"/>
              </w:rPr>
            </w:pPr>
            <w:r>
              <w:rPr>
                <w:rFonts w:hint="default" w:ascii="Times New Roman" w:hAnsi="Times New Roman" w:eastAsia="宋体" w:cs="Times New Roman"/>
                <w:color w:val="auto"/>
                <w:lang w:val="zh-CN"/>
              </w:rPr>
              <w:t>表</w:t>
            </w:r>
            <w:r>
              <w:rPr>
                <w:rFonts w:hint="default" w:ascii="Times New Roman" w:hAnsi="Times New Roman" w:eastAsia="宋体" w:cs="Times New Roman"/>
                <w:color w:val="auto"/>
              </w:rPr>
              <w:t>7</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 xml:space="preserve"> 有组织废气检测结果</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387"/>
              <w:gridCol w:w="1041"/>
              <w:gridCol w:w="928"/>
              <w:gridCol w:w="273"/>
              <w:gridCol w:w="1001"/>
              <w:gridCol w:w="193"/>
              <w:gridCol w:w="795"/>
              <w:gridCol w:w="403"/>
              <w:gridCol w:w="1158"/>
              <w:gridCol w:w="34"/>
              <w:gridCol w:w="1192"/>
              <w:gridCol w:w="11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82" w:hRule="atLeast"/>
                <w:jc w:val="center"/>
              </w:trPr>
              <w:tc>
                <w:tcPr>
                  <w:tcW w:w="84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采样点位</w:t>
                  </w:r>
                </w:p>
              </w:tc>
              <w:tc>
                <w:tcPr>
                  <w:tcW w:w="4158" w:type="pct"/>
                  <w:gridSpan w:val="10"/>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P2废气排气筒出口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84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测点截面积（m2）</w:t>
                  </w:r>
                </w:p>
              </w:tc>
              <w:tc>
                <w:tcPr>
                  <w:tcW w:w="5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0.6361</w:t>
                  </w:r>
                </w:p>
              </w:tc>
              <w:tc>
                <w:tcPr>
                  <w:tcW w:w="740"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排气筒高度（m）</w:t>
                  </w:r>
                </w:p>
              </w:tc>
              <w:tc>
                <w:tcPr>
                  <w:tcW w:w="57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904"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废气治理措施</w:t>
                  </w:r>
                </w:p>
              </w:tc>
              <w:tc>
                <w:tcPr>
                  <w:tcW w:w="1403"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脉冲布袋除尘器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84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采样时间</w:t>
                  </w:r>
                </w:p>
              </w:tc>
              <w:tc>
                <w:tcPr>
                  <w:tcW w:w="2085" w:type="pct"/>
                  <w:gridSpan w:val="6"/>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2022年10月19日</w:t>
                  </w:r>
                </w:p>
              </w:tc>
              <w:tc>
                <w:tcPr>
                  <w:tcW w:w="2073" w:type="pct"/>
                  <w:gridSpan w:val="4"/>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2022年10月20日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84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采样频次</w:t>
                  </w:r>
                </w:p>
              </w:tc>
              <w:tc>
                <w:tcPr>
                  <w:tcW w:w="69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69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693"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69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84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烟气温度（℃）</w:t>
                  </w:r>
                </w:p>
              </w:tc>
              <w:tc>
                <w:tcPr>
                  <w:tcW w:w="69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69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693"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69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84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标干流量（Nm3/h）</w:t>
                  </w:r>
                </w:p>
              </w:tc>
              <w:tc>
                <w:tcPr>
                  <w:tcW w:w="69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23724</w:t>
                  </w:r>
                </w:p>
              </w:tc>
              <w:tc>
                <w:tcPr>
                  <w:tcW w:w="69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23944</w:t>
                  </w:r>
                </w:p>
              </w:tc>
              <w:tc>
                <w:tcPr>
                  <w:tcW w:w="693"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24209</w:t>
                  </w:r>
                </w:p>
              </w:tc>
              <w:tc>
                <w:tcPr>
                  <w:tcW w:w="69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23249</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23450</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23857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224"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61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样品编号</w:t>
                  </w:r>
                </w:p>
              </w:tc>
              <w:tc>
                <w:tcPr>
                  <w:tcW w:w="699" w:type="pct"/>
                  <w:gridSpan w:val="2"/>
                  <w:tcBorders>
                    <w:tl2br w:val="nil"/>
                    <w:tr2bl w:val="nil"/>
                  </w:tcBorders>
                  <w:noWrap w:val="0"/>
                  <w:vAlign w:val="bottom"/>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2210302Y010</w:t>
                  </w:r>
                </w:p>
              </w:tc>
              <w:tc>
                <w:tcPr>
                  <w:tcW w:w="691" w:type="pct"/>
                  <w:gridSpan w:val="2"/>
                  <w:tcBorders>
                    <w:tl2br w:val="nil"/>
                    <w:tr2bl w:val="nil"/>
                  </w:tcBorders>
                  <w:noWrap w:val="0"/>
                  <w:vAlign w:val="bottom"/>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2210302Y011</w:t>
                  </w:r>
                </w:p>
              </w:tc>
              <w:tc>
                <w:tcPr>
                  <w:tcW w:w="693" w:type="pct"/>
                  <w:gridSpan w:val="2"/>
                  <w:tcBorders>
                    <w:tl2br w:val="nil"/>
                    <w:tr2bl w:val="nil"/>
                  </w:tcBorders>
                  <w:noWrap w:val="0"/>
                  <w:vAlign w:val="bottom"/>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2210302Y012</w:t>
                  </w:r>
                </w:p>
              </w:tc>
              <w:tc>
                <w:tcPr>
                  <w:tcW w:w="691" w:type="pct"/>
                  <w:gridSpan w:val="2"/>
                  <w:tcBorders>
                    <w:tl2br w:val="nil"/>
                    <w:tr2bl w:val="nil"/>
                  </w:tcBorders>
                  <w:noWrap w:val="0"/>
                  <w:vAlign w:val="bottom"/>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2210302Y022</w:t>
                  </w:r>
                </w:p>
              </w:tc>
              <w:tc>
                <w:tcPr>
                  <w:tcW w:w="691" w:type="pct"/>
                  <w:tcBorders>
                    <w:tl2br w:val="nil"/>
                    <w:tr2bl w:val="nil"/>
                  </w:tcBorders>
                  <w:noWrap w:val="0"/>
                  <w:vAlign w:val="bottom"/>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2210302Y023</w:t>
                  </w:r>
                </w:p>
              </w:tc>
              <w:tc>
                <w:tcPr>
                  <w:tcW w:w="691" w:type="pct"/>
                  <w:tcBorders>
                    <w:tl2br w:val="nil"/>
                    <w:tr2bl w:val="nil"/>
                  </w:tcBorders>
                  <w:noWrap w:val="0"/>
                  <w:vAlign w:val="bottom"/>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2210302Y024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224"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实测浓度（mg/m3）</w:t>
                  </w:r>
                </w:p>
              </w:tc>
              <w:tc>
                <w:tcPr>
                  <w:tcW w:w="69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69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693"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69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224"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69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0.0427</w:t>
                  </w:r>
                </w:p>
              </w:tc>
              <w:tc>
                <w:tcPr>
                  <w:tcW w:w="69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0.0383</w:t>
                  </w:r>
                </w:p>
              </w:tc>
              <w:tc>
                <w:tcPr>
                  <w:tcW w:w="693"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0.0412</w:t>
                  </w:r>
                </w:p>
              </w:tc>
              <w:tc>
                <w:tcPr>
                  <w:tcW w:w="69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0.0302</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0.0375</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7" w:hRule="atLeast"/>
                <w:jc w:val="center"/>
              </w:trPr>
              <w:tc>
                <w:tcPr>
                  <w:tcW w:w="841"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c>
                <w:tcPr>
                  <w:tcW w:w="4158" w:type="pct"/>
                  <w:gridSpan w:val="10"/>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widowControl/>
              <w:spacing w:after="0" w:line="560" w:lineRule="exact"/>
              <w:ind w:firstLine="480" w:firstLineChars="200"/>
              <w:jc w:val="both"/>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eastAsiaTheme="minorEastAsia"/>
                <w:color w:val="auto"/>
                <w:sz w:val="24"/>
                <w:szCs w:val="24"/>
                <w:highlight w:val="none"/>
              </w:rPr>
              <w:t>根据检测结果可知，</w:t>
            </w:r>
            <w:r>
              <w:rPr>
                <w:rFonts w:hint="default" w:ascii="Times New Roman" w:hAnsi="Times New Roman" w:cs="Times New Roman" w:eastAsiaTheme="minorEastAsia"/>
                <w:sz w:val="24"/>
                <w:szCs w:val="24"/>
                <w:highlight w:val="none"/>
              </w:rPr>
              <w:t>验收监</w:t>
            </w:r>
            <w:r>
              <w:rPr>
                <w:rFonts w:hint="default" w:ascii="Times New Roman" w:hAnsi="Times New Roman" w:cs="Times New Roman" w:eastAsiaTheme="minorEastAsia"/>
                <w:color w:val="auto"/>
                <w:sz w:val="24"/>
                <w:szCs w:val="24"/>
                <w:highlight w:val="none"/>
              </w:rPr>
              <w:t>测期间</w:t>
            </w:r>
            <w:r>
              <w:rPr>
                <w:rFonts w:hint="default" w:ascii="Times New Roman" w:hAnsi="Times New Roman" w:cs="Times New Roman" w:eastAsiaTheme="minorEastAsia"/>
                <w:color w:val="auto"/>
                <w:sz w:val="24"/>
                <w:szCs w:val="24"/>
                <w:highlight w:val="none"/>
                <w:lang w:val="en-US" w:eastAsia="zh-CN"/>
              </w:rPr>
              <w:t>废气排气筒P</w:t>
            </w:r>
            <w:r>
              <w:rPr>
                <w:rFonts w:hint="eastAsia" w:ascii="Times New Roman" w:hAnsi="Times New Roman" w:cs="Times New Roman" w:eastAsiaTheme="minorEastAsia"/>
                <w:color w:val="auto"/>
                <w:sz w:val="24"/>
                <w:szCs w:val="24"/>
                <w:highlight w:val="none"/>
                <w:lang w:val="en-US" w:eastAsia="zh-CN"/>
              </w:rPr>
              <w:t>2</w:t>
            </w:r>
            <w:r>
              <w:rPr>
                <w:rFonts w:hint="default" w:ascii="Times New Roman" w:hAnsi="Times New Roman" w:cs="Times New Roman" w:eastAsiaTheme="minorEastAsia"/>
                <w:color w:val="auto"/>
                <w:sz w:val="24"/>
                <w:szCs w:val="24"/>
                <w:highlight w:val="none"/>
                <w:lang w:val="en-US" w:eastAsia="zh-CN"/>
              </w:rPr>
              <w:t>环保设备出口</w:t>
            </w:r>
            <w:r>
              <w:rPr>
                <w:rFonts w:hint="default" w:ascii="Times New Roman" w:hAnsi="Times New Roman" w:cs="Times New Roman" w:eastAsiaTheme="minorEastAsia"/>
                <w:sz w:val="24"/>
                <w:szCs w:val="24"/>
                <w:highlight w:val="none"/>
              </w:rPr>
              <w:t>有组织废气</w:t>
            </w:r>
            <w:r>
              <w:rPr>
                <w:rFonts w:hint="eastAsia" w:ascii="Times New Roman" w:hAnsi="Times New Roman" w:cs="Times New Roman" w:eastAsiaTheme="minorEastAsia"/>
                <w:sz w:val="24"/>
                <w:szCs w:val="24"/>
                <w:highlight w:val="none"/>
                <w:lang w:eastAsia="zh-CN"/>
              </w:rPr>
              <w:t>颗粒物</w:t>
            </w:r>
            <w:r>
              <w:rPr>
                <w:rFonts w:hint="default" w:ascii="Times New Roman" w:hAnsi="Times New Roman" w:cs="Times New Roman" w:eastAsiaTheme="minorEastAsia"/>
                <w:sz w:val="24"/>
                <w:szCs w:val="24"/>
                <w:highlight w:val="none"/>
              </w:rPr>
              <w:t>最大排放浓度为</w:t>
            </w:r>
            <w:r>
              <w:rPr>
                <w:rFonts w:hint="eastAsia" w:ascii="Times New Roman" w:hAnsi="Times New Roman" w:cs="Times New Roman" w:eastAsiaTheme="minorEastAsia"/>
                <w:color w:val="auto"/>
                <w:sz w:val="24"/>
                <w:szCs w:val="24"/>
                <w:highlight w:val="none"/>
                <w:lang w:val="en-US" w:eastAsia="zh-CN"/>
              </w:rPr>
              <w:t>1.8</w:t>
            </w:r>
            <w:r>
              <w:rPr>
                <w:rFonts w:hint="default" w:ascii="Times New Roman" w:hAnsi="Times New Roman" w:cs="Times New Roman" w:eastAsiaTheme="minorEastAsia"/>
                <w:color w:val="auto"/>
                <w:sz w:val="24"/>
                <w:szCs w:val="24"/>
                <w:highlight w:val="none"/>
                <w:lang w:val="en-US" w:eastAsia="zh-CN"/>
              </w:rPr>
              <w:t>mg/m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lang w:val="en-US" w:eastAsia="zh-CN"/>
              </w:rPr>
              <w:t>，最大排放速率为</w:t>
            </w:r>
            <w:r>
              <w:rPr>
                <w:rFonts w:hint="eastAsia" w:ascii="Times New Roman" w:hAnsi="Times New Roman" w:cs="Times New Roman" w:eastAsiaTheme="minorEastAsia"/>
                <w:color w:val="auto"/>
                <w:sz w:val="24"/>
                <w:szCs w:val="24"/>
                <w:highlight w:val="none"/>
                <w:lang w:val="en-US" w:eastAsia="zh-CN"/>
              </w:rPr>
              <w:t>0.0427</w:t>
            </w:r>
            <w:r>
              <w:rPr>
                <w:rFonts w:hint="default" w:ascii="Times New Roman" w:hAnsi="Times New Roman" w:cs="Times New Roman" w:eastAsiaTheme="minorEastAsia"/>
                <w:color w:val="auto"/>
                <w:sz w:val="24"/>
                <w:szCs w:val="24"/>
                <w:highlight w:val="none"/>
                <w:lang w:val="en-US" w:eastAsia="zh-CN"/>
              </w:rPr>
              <w:t>kg/h，</w:t>
            </w:r>
            <w:r>
              <w:rPr>
                <w:rFonts w:hint="eastAsia" w:ascii="Times New Roman" w:hAnsi="Times New Roman" w:cs="Times New Roman" w:eastAsiaTheme="minorEastAsia"/>
                <w:color w:val="auto"/>
                <w:sz w:val="24"/>
                <w:szCs w:val="24"/>
                <w:highlight w:val="none"/>
                <w:lang w:val="en-US" w:eastAsia="zh-CN"/>
              </w:rPr>
              <w:t>颗粒物满足</w:t>
            </w:r>
            <w:r>
              <w:rPr>
                <w:rFonts w:hint="default" w:ascii="Times New Roman" w:hAnsi="Times New Roman" w:eastAsia="宋体" w:cs="Times New Roman"/>
                <w:color w:val="auto"/>
                <w:sz w:val="24"/>
                <w:highlight w:val="none"/>
                <w:lang w:val="en-US" w:eastAsia="zh-CN"/>
              </w:rPr>
              <w:t>《区域性大气污染物综合排放标准》（DB37/2376-2019）表1重点控制区排放浓度限值（颗粒物：10mg/m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），排放速率</w:t>
            </w:r>
            <w:r>
              <w:rPr>
                <w:rFonts w:hint="eastAsia"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lang w:val="en-US" w:eastAsia="zh-CN"/>
              </w:rPr>
              <w:t>《大气污染物综合排放标准》（GB16297-1996）表2排放速率限值（15m，3.5kg/h）</w:t>
            </w:r>
            <w:r>
              <w:rPr>
                <w:rFonts w:hint="default" w:ascii="Times New Roman" w:hAnsi="Times New Roman" w:cs="Times New Roman" w:eastAsiaTheme="minorEastAsia"/>
                <w:sz w:val="24"/>
                <w:szCs w:val="24"/>
                <w:highlight w:val="none"/>
                <w:lang w:eastAsia="zh-CN"/>
              </w:rPr>
              <w:t>。</w:t>
            </w:r>
            <w:r>
              <w:rPr>
                <w:rFonts w:hint="default" w:ascii="Times New Roman" w:hAnsi="Times New Roman" w:eastAsia="宋体" w:cs="Times New Roman"/>
                <w:color w:val="auto"/>
                <w:sz w:val="24"/>
                <w:highlight w:val="none"/>
              </w:rPr>
              <w:t>项目年工作</w:t>
            </w:r>
            <w:r>
              <w:rPr>
                <w:rFonts w:hint="eastAsia" w:ascii="Times New Roman" w:hAnsi="Times New Roman" w:eastAsia="宋体" w:cs="Times New Roman"/>
                <w:color w:val="auto"/>
                <w:sz w:val="24"/>
                <w:highlight w:val="none"/>
                <w:lang w:val="en-US" w:eastAsia="zh-CN"/>
              </w:rPr>
              <w:t>2400</w:t>
            </w:r>
            <w:r>
              <w:rPr>
                <w:rFonts w:hint="default" w:ascii="Times New Roman" w:hAnsi="Times New Roman" w:eastAsia="宋体" w:cs="Times New Roman"/>
                <w:color w:val="auto"/>
                <w:sz w:val="24"/>
                <w:highlight w:val="none"/>
                <w:lang w:val="en-US" w:eastAsia="zh-CN"/>
              </w:rPr>
              <w:t>h</w:t>
            </w:r>
            <w:r>
              <w:rPr>
                <w:rFonts w:hint="default" w:ascii="Times New Roman" w:hAnsi="Times New Roman" w:eastAsia="宋体" w:cs="Times New Roman"/>
                <w:color w:val="auto"/>
                <w:sz w:val="24"/>
                <w:highlight w:val="none"/>
              </w:rPr>
              <w:t>，则</w:t>
            </w:r>
            <w:r>
              <w:rPr>
                <w:rFonts w:hint="default" w:ascii="Times New Roman" w:hAnsi="Times New Roman" w:eastAsia="宋体" w:cs="Times New Roman"/>
                <w:color w:val="auto"/>
                <w:sz w:val="24"/>
                <w:highlight w:val="none"/>
                <w:lang w:val="en-US" w:eastAsia="zh-CN"/>
              </w:rPr>
              <w:t>废气排气筒P</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有组织</w:t>
            </w:r>
            <w:r>
              <w:rPr>
                <w:rFonts w:hint="eastAsia" w:ascii="Times New Roman" w:hAnsi="Times New Roman" w:cs="Times New Roman" w:eastAsiaTheme="minorEastAsia"/>
                <w:sz w:val="24"/>
                <w:szCs w:val="24"/>
                <w:highlight w:val="none"/>
                <w:lang w:eastAsia="zh-CN"/>
              </w:rPr>
              <w:t>颗粒物</w:t>
            </w:r>
            <w:r>
              <w:rPr>
                <w:rFonts w:hint="default" w:ascii="Times New Roman" w:hAnsi="Times New Roman" w:eastAsia="宋体" w:cs="Times New Roman"/>
                <w:color w:val="auto"/>
                <w:sz w:val="24"/>
                <w:highlight w:val="none"/>
                <w:lang w:eastAsia="zh-CN"/>
              </w:rPr>
              <w:t>排放量</w:t>
            </w:r>
            <w:r>
              <w:rPr>
                <w:rFonts w:hint="eastAsia" w:ascii="Times New Roman" w:hAnsi="Times New Roman" w:eastAsia="宋体" w:cs="Times New Roman"/>
                <w:color w:val="auto"/>
                <w:sz w:val="24"/>
                <w:highlight w:val="none"/>
                <w:lang w:val="en-US" w:eastAsia="zh-CN"/>
              </w:rPr>
              <w:t>0.1</w:t>
            </w:r>
            <w:r>
              <w:rPr>
                <w:rFonts w:hint="default" w:ascii="Times New Roman" w:hAnsi="Times New Roman" w:eastAsia="宋体" w:cs="Times New Roman"/>
                <w:color w:val="auto"/>
                <w:sz w:val="24"/>
                <w:highlight w:val="none"/>
                <w:lang w:eastAsia="zh-CN"/>
              </w:rPr>
              <w:t>t/a</w:t>
            </w:r>
            <w:r>
              <w:rPr>
                <w:rFonts w:hint="default" w:ascii="Times New Roman" w:hAnsi="Times New Roman" w:eastAsia="宋体" w:cs="Times New Roman"/>
                <w:color w:val="auto"/>
                <w:sz w:val="24"/>
                <w:highlight w:val="none"/>
              </w:rPr>
              <w:t>。</w:t>
            </w:r>
          </w:p>
          <w:p>
            <w:pPr>
              <w:pStyle w:val="37"/>
              <w:widowControl w:val="0"/>
              <w:spacing w:line="560" w:lineRule="exact"/>
              <w:rPr>
                <w:rFonts w:hint="default" w:ascii="Times New Roman" w:hAnsi="Times New Roman" w:eastAsia="宋体" w:cs="Times New Roman"/>
                <w:color w:val="auto"/>
              </w:rPr>
            </w:pPr>
            <w:r>
              <w:rPr>
                <w:rFonts w:hint="default" w:ascii="Times New Roman" w:hAnsi="Times New Roman" w:eastAsia="宋体" w:cs="Times New Roman"/>
                <w:color w:val="auto"/>
                <w:lang w:val="zh-CN"/>
              </w:rPr>
              <w:t>表</w:t>
            </w:r>
            <w:r>
              <w:rPr>
                <w:rFonts w:hint="default" w:ascii="Times New Roman" w:hAnsi="Times New Roman" w:eastAsia="宋体" w:cs="Times New Roman"/>
                <w:color w:val="auto"/>
              </w:rPr>
              <w:t>7</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无</w:t>
            </w:r>
            <w:r>
              <w:rPr>
                <w:rFonts w:hint="default" w:ascii="Times New Roman" w:hAnsi="Times New Roman" w:eastAsia="宋体" w:cs="Times New Roman"/>
                <w:color w:val="auto"/>
              </w:rPr>
              <w:t>组织废气检测结果</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232"/>
              <w:gridCol w:w="802"/>
              <w:gridCol w:w="701"/>
              <w:gridCol w:w="1465"/>
              <w:gridCol w:w="1465"/>
              <w:gridCol w:w="1465"/>
              <w:gridCol w:w="14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818"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mc:AlternateContent>
                      <mc:Choice Requires="wps">
                        <w:drawing>
                          <wp:anchor distT="0" distB="0" distL="114300" distR="114300" simplePos="0" relativeHeight="251663360" behindDoc="0" locked="0" layoutInCell="1" allowOverlap="1">
                            <wp:simplePos x="0" y="0"/>
                            <wp:positionH relativeFrom="column">
                              <wp:posOffset>-58420</wp:posOffset>
                            </wp:positionH>
                            <wp:positionV relativeFrom="paragraph">
                              <wp:posOffset>10160</wp:posOffset>
                            </wp:positionV>
                            <wp:extent cx="1714500" cy="762000"/>
                            <wp:effectExtent l="1905" t="4445" r="17145" b="14605"/>
                            <wp:wrapNone/>
                            <wp:docPr id="4" name="直接连接符 4"/>
                            <wp:cNvGraphicFramePr/>
                            <a:graphic xmlns:a="http://schemas.openxmlformats.org/drawingml/2006/main">
                              <a:graphicData uri="http://schemas.microsoft.com/office/word/2010/wordprocessingShape">
                                <wps:wsp>
                                  <wps:cNvCnPr/>
                                  <wps:spPr>
                                    <a:xfrm>
                                      <a:off x="1061085" y="7892415"/>
                                      <a:ext cx="1714500" cy="76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6pt;margin-top:0.8pt;height:60pt;width:135pt;z-index:251663360;mso-width-relative:page;mso-height-relative:page;" filled="f" stroked="t" coordsize="21600,21600" o:gfxdata="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W425NIAAAAIAQAADwAAAAAAAAABACAAAAAiAAAAZHJzL2Rvd25yZXYueG1sUEsBAhQAFAAA&#10;AAgAh07iQOn1wtT1AQAAwgMAAA4AAAAAAAAAAQAgAAAAIQEAAGRycy9lMm9Eb2MueG1sUEsFBgAA&#10;AAAGAAYAWQEAAIgFA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color w:val="auto"/>
                      <w:sz w:val="21"/>
                      <w:szCs w:val="21"/>
                      <w:lang w:val="en-US" w:eastAsia="zh-CN"/>
                    </w:rPr>
                    <w:t xml:space="preserve">                  采样点位</w:t>
                  </w:r>
                </w:p>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检测项目、采样时间</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649"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颗粒物（mg/m3）</w:t>
                  </w:r>
                </w:p>
              </w:tc>
              <w:tc>
                <w:tcPr>
                  <w:tcW w:w="613"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w:t>
                  </w:r>
                </w:p>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10月19日</w:t>
                  </w:r>
                </w:p>
              </w:tc>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样品编号</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2210302W001</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2210302W002</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2210302W003</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64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3"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16:10</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0.263</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0.434</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0.384</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64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3"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样品编号</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2210302W005</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2210302W006</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2210302W007</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64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3"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17:15</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0.324</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0.406</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0.454</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64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3"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样品编号</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2210302W009</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2210302W010</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2210302W011</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64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3"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18:20</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0.266</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0.432</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0.482</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64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3"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w:t>
                  </w:r>
                </w:p>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10月20日</w:t>
                  </w:r>
                </w:p>
              </w:tc>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样品编号</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2210302W013</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2210302W014</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2210302W015</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64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3"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08:01</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0.318</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0.381</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0.418</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64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3"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样品编号</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2210302W017</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2210302W018</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2210302W019</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64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3"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09:08</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0.299</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0.386</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0.434</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64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3"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样品编号</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2210302W021</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2210302W022</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2210302W023</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2210302W024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atLeast"/>
                <w:jc w:val="center"/>
              </w:trPr>
              <w:tc>
                <w:tcPr>
                  <w:tcW w:w="64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613"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10:15</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0.327</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0.381</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0.462</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0.379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1263"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c>
                <w:tcPr>
                  <w:tcW w:w="3736" w:type="pct"/>
                  <w:gridSpan w:val="5"/>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widowControl/>
              <w:spacing w:after="0" w:line="560" w:lineRule="exact"/>
              <w:ind w:firstLine="480" w:firstLineChars="200"/>
              <w:jc w:val="both"/>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szCs w:val="24"/>
                <w:highlight w:val="none"/>
              </w:rPr>
              <w:t>根据检测结果可知，</w:t>
            </w:r>
            <w:r>
              <w:rPr>
                <w:rFonts w:hint="default" w:ascii="Times New Roman" w:hAnsi="Times New Roman" w:eastAsia="宋体" w:cs="Times New Roman"/>
                <w:sz w:val="24"/>
                <w:szCs w:val="24"/>
                <w:highlight w:val="none"/>
              </w:rPr>
              <w:t>验收监测期间厂界</w:t>
            </w:r>
            <w:r>
              <w:rPr>
                <w:rFonts w:hint="eastAsia" w:ascii="Times New Roman" w:hAnsi="Times New Roman" w:eastAsia="宋体" w:cs="Times New Roman"/>
                <w:sz w:val="24"/>
                <w:szCs w:val="24"/>
                <w:highlight w:val="none"/>
                <w:lang w:eastAsia="zh-CN"/>
              </w:rPr>
              <w:t>颗粒物</w:t>
            </w:r>
            <w:r>
              <w:rPr>
                <w:rFonts w:hint="default" w:ascii="Times New Roman" w:hAnsi="Times New Roman" w:eastAsia="宋体" w:cs="Times New Roman"/>
                <w:sz w:val="24"/>
                <w:szCs w:val="24"/>
                <w:highlight w:val="none"/>
              </w:rPr>
              <w:t>浓度最大值为</w:t>
            </w:r>
            <w:r>
              <w:rPr>
                <w:rFonts w:hint="eastAsia" w:ascii="Times New Roman" w:hAnsi="Times New Roman" w:eastAsia="宋体" w:cs="Times New Roman"/>
                <w:sz w:val="24"/>
                <w:szCs w:val="24"/>
                <w:highlight w:val="none"/>
                <w:lang w:val="en-US" w:eastAsia="zh-CN"/>
              </w:rPr>
              <w:t>0.482</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，，满足</w:t>
            </w:r>
            <w:r>
              <w:rPr>
                <w:rFonts w:hint="default" w:ascii="Times New Roman" w:hAnsi="Times New Roman" w:cs="Times New Roman" w:eastAsiaTheme="minorEastAsia"/>
                <w:bCs/>
                <w:sz w:val="24"/>
                <w:szCs w:val="24"/>
                <w:highlight w:val="none"/>
                <w:lang w:val="en-US" w:eastAsia="zh-CN"/>
              </w:rPr>
              <w:t>《大气污染物综合排放标准》（GB16297-1996）表2中无组织排放浓度限值（1</w:t>
            </w:r>
            <w:r>
              <w:rPr>
                <w:rFonts w:hint="eastAsia" w:ascii="Times New Roman" w:hAnsi="Times New Roman" w:cs="Times New Roman" w:eastAsiaTheme="minorEastAsia"/>
                <w:bCs/>
                <w:sz w:val="24"/>
                <w:szCs w:val="24"/>
                <w:highlight w:val="none"/>
                <w:lang w:val="en-US" w:eastAsia="zh-CN"/>
              </w:rPr>
              <w:t>.0</w:t>
            </w:r>
            <w:r>
              <w:rPr>
                <w:rFonts w:hint="default" w:ascii="Times New Roman" w:hAnsi="Times New Roman" w:cs="Times New Roman" w:eastAsiaTheme="minorEastAsia"/>
                <w:bCs/>
                <w:sz w:val="24"/>
                <w:szCs w:val="24"/>
                <w:highlight w:val="none"/>
                <w:lang w:val="en-US" w:eastAsia="zh-CN"/>
              </w:rPr>
              <w:t>mg/m</w:t>
            </w:r>
            <w:r>
              <w:rPr>
                <w:rFonts w:hint="default" w:ascii="Times New Roman" w:hAnsi="Times New Roman" w:cs="Times New Roman" w:eastAsiaTheme="minorEastAsia"/>
                <w:bCs/>
                <w:sz w:val="24"/>
                <w:szCs w:val="24"/>
                <w:highlight w:val="none"/>
                <w:vertAlign w:val="superscript"/>
                <w:lang w:val="en-US" w:eastAsia="zh-CN"/>
              </w:rPr>
              <w:t>3</w:t>
            </w:r>
            <w:r>
              <w:rPr>
                <w:rFonts w:hint="default" w:ascii="Times New Roman" w:hAnsi="Times New Roman" w:cs="Times New Roman" w:eastAsiaTheme="minorEastAsia"/>
                <w:bCs/>
                <w:sz w:val="24"/>
                <w:szCs w:val="24"/>
                <w:highlight w:val="none"/>
                <w:lang w:val="en-US" w:eastAsia="zh-CN"/>
              </w:rPr>
              <w:t>）</w:t>
            </w:r>
            <w:r>
              <w:rPr>
                <w:rFonts w:hint="default" w:ascii="Times New Roman" w:hAnsi="Times New Roman" w:eastAsia="宋体" w:cs="Times New Roman"/>
                <w:color w:val="auto"/>
                <w:sz w:val="24"/>
                <w:szCs w:val="24"/>
                <w:highlight w:val="none"/>
              </w:rPr>
              <w:t>。</w:t>
            </w:r>
          </w:p>
          <w:p>
            <w:pPr>
              <w:widowControl w:val="0"/>
              <w:spacing w:after="0" w:line="560" w:lineRule="exact"/>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7.2.2噪声</w:t>
            </w:r>
            <w:r>
              <w:rPr>
                <w:rFonts w:hint="default" w:ascii="Times New Roman" w:hAnsi="Times New Roman" w:eastAsia="宋体" w:cs="Times New Roman"/>
                <w:b/>
                <w:bCs/>
                <w:color w:val="auto"/>
                <w:sz w:val="24"/>
                <w:szCs w:val="24"/>
                <w:lang w:val="zh-CN"/>
              </w:rPr>
              <w:t>检测结果</w:t>
            </w:r>
          </w:p>
          <w:p>
            <w:pPr>
              <w:pStyle w:val="37"/>
              <w:widowControl w:val="0"/>
              <w:spacing w:line="560" w:lineRule="exact"/>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表</w:t>
            </w:r>
            <w:r>
              <w:rPr>
                <w:rFonts w:hint="default" w:ascii="Times New Roman" w:hAnsi="Times New Roman" w:eastAsia="宋体" w:cs="Times New Roman"/>
                <w:color w:val="auto"/>
              </w:rPr>
              <w:t>7-5</w:t>
            </w:r>
            <w:r>
              <w:rPr>
                <w:rFonts w:hint="default" w:ascii="Times New Roman" w:hAnsi="Times New Roman" w:eastAsia="宋体" w:cs="Times New Roman"/>
                <w:color w:val="auto"/>
                <w:lang w:val="zh-CN"/>
              </w:rPr>
              <w:t xml:space="preserve"> 噪声检测结果</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1533"/>
              <w:gridCol w:w="304"/>
              <w:gridCol w:w="1229"/>
              <w:gridCol w:w="918"/>
              <w:gridCol w:w="615"/>
              <w:gridCol w:w="15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430"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测间最大风速</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m/s</w:t>
                  </w:r>
                  <w:r>
                    <w:rPr>
                      <w:rFonts w:hint="default" w:ascii="Times New Roman" w:hAnsi="Times New Roman" w:eastAsia="宋体" w:cs="Times New Roman"/>
                      <w:color w:val="auto"/>
                      <w:sz w:val="21"/>
                      <w:szCs w:val="21"/>
                      <w:lang w:val="en-US" w:eastAsia="zh-CN"/>
                    </w:rPr>
                    <w:t>）</w:t>
                  </w:r>
                </w:p>
              </w:tc>
              <w:tc>
                <w:tcPr>
                  <w:tcW w:w="1069"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2.5/2.5</w:t>
                  </w:r>
                </w:p>
              </w:tc>
              <w:tc>
                <w:tcPr>
                  <w:tcW w:w="1249" w:type="pct"/>
                  <w:gridSpan w:val="2"/>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天气</w:t>
                  </w:r>
                  <w:r>
                    <w:rPr>
                      <w:rFonts w:hint="default" w:ascii="Times New Roman" w:hAnsi="Times New Roman" w:eastAsia="宋体" w:cs="Times New Roman"/>
                      <w:color w:val="auto"/>
                      <w:sz w:val="21"/>
                      <w:szCs w:val="21"/>
                      <w:lang w:val="en-US" w:eastAsia="zh-CN"/>
                    </w:rPr>
                    <w:t>情况</w:t>
                  </w:r>
                </w:p>
              </w:tc>
              <w:tc>
                <w:tcPr>
                  <w:tcW w:w="1250"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晴/晴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430"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mc:AlternateContent>
                      <mc:Choice Requires="wps">
                        <w:drawing>
                          <wp:anchor distT="0" distB="0" distL="114300" distR="114300" simplePos="0" relativeHeight="251664384" behindDoc="0" locked="0" layoutInCell="1" allowOverlap="1">
                            <wp:simplePos x="0" y="0"/>
                            <wp:positionH relativeFrom="column">
                              <wp:posOffset>-45720</wp:posOffset>
                            </wp:positionH>
                            <wp:positionV relativeFrom="paragraph">
                              <wp:posOffset>25400</wp:posOffset>
                            </wp:positionV>
                            <wp:extent cx="1501775" cy="836295"/>
                            <wp:effectExtent l="2540" t="4445" r="19685" b="16510"/>
                            <wp:wrapNone/>
                            <wp:docPr id="5" name="直接连接符 5"/>
                            <wp:cNvGraphicFramePr/>
                            <a:graphic xmlns:a="http://schemas.openxmlformats.org/drawingml/2006/main">
                              <a:graphicData uri="http://schemas.microsoft.com/office/word/2010/wordprocessingShape">
                                <wps:wsp>
                                  <wps:cNvCnPr/>
                                  <wps:spPr>
                                    <a:xfrm>
                                      <a:off x="0" y="0"/>
                                      <a:ext cx="1501775" cy="8362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6pt;margin-top:2pt;height:65.85pt;width:118.25pt;z-index:251664384;mso-width-relative:page;mso-height-relative:page;" filled="f" stroked="t" coordsize="21600,21600" o:gfxdata="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zMDWvXAAAACAEAAA8AAAAAAAAAAQAgAAAAIgAAAGRycy9kb3ducmV2Lnht&#10;bFBLAQIUABQAAAAIAIdO4kA1Yskp+gEAAOkDAAAOAAAAAAAAAAEAIAAAACYBAABkcnMvZTJvRG9j&#10;LnhtbFBLBQYAAAAABgAGAFkBAACSBQ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 w:val="21"/>
                      <w:szCs w:val="21"/>
                      <w:lang w:val="en-US" w:eastAsia="zh-CN"/>
                    </w:rPr>
                    <w:t xml:space="preserve">          检测日期</w:t>
                  </w:r>
                </w:p>
                <w:p>
                  <w:pPr>
                    <w:adjustRightInd w:val="0"/>
                    <w:snapToGrid w:val="0"/>
                    <w:jc w:val="center"/>
                    <w:rPr>
                      <w:rFonts w:hint="default" w:ascii="Times New Roman" w:hAnsi="Times New Roman" w:eastAsia="宋体" w:cs="Times New Roman"/>
                      <w:color w:val="auto"/>
                      <w:sz w:val="21"/>
                      <w:szCs w:val="21"/>
                      <w:lang w:val="en-US" w:eastAsia="zh-CN"/>
                    </w:rPr>
                  </w:pPr>
                </w:p>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检测点位</w:t>
                  </w:r>
                </w:p>
              </w:tc>
              <w:tc>
                <w:tcPr>
                  <w:tcW w:w="1784" w:type="pct"/>
                  <w:gridSpan w:val="3"/>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2022年10月19日</w:t>
                  </w:r>
                </w:p>
              </w:tc>
              <w:tc>
                <w:tcPr>
                  <w:tcW w:w="1784" w:type="pct"/>
                  <w:gridSpan w:val="3"/>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2022年10月20日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30"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8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昼间dB(A)</w:t>
                  </w:r>
                </w:p>
              </w:tc>
              <w:tc>
                <w:tcPr>
                  <w:tcW w:w="89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夜间</w:t>
                  </w:r>
                  <w:r>
                    <w:rPr>
                      <w:rFonts w:hint="default" w:ascii="Times New Roman" w:hAnsi="Times New Roman" w:eastAsia="宋体" w:cs="Times New Roman"/>
                      <w:color w:val="auto"/>
                      <w:sz w:val="21"/>
                      <w:szCs w:val="21"/>
                      <w:lang w:val="en-US" w:eastAsia="zh-CN"/>
                    </w:rPr>
                    <w:t>dB(A)</w:t>
                  </w:r>
                </w:p>
              </w:tc>
              <w:tc>
                <w:tcPr>
                  <w:tcW w:w="89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w:t>
                  </w:r>
                  <w:r>
                    <w:rPr>
                      <w:rFonts w:hint="default" w:ascii="Times New Roman" w:hAnsi="Times New Roman" w:eastAsia="宋体" w:cs="Times New Roman"/>
                      <w:color w:val="auto"/>
                      <w:sz w:val="21"/>
                      <w:szCs w:val="21"/>
                      <w:lang w:val="en-US" w:eastAsia="zh-CN"/>
                    </w:rPr>
                    <w:t>间dB(A)</w:t>
                  </w:r>
                </w:p>
              </w:tc>
              <w:tc>
                <w:tcPr>
                  <w:tcW w:w="892"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夜间</w:t>
                  </w:r>
                  <w:r>
                    <w:rPr>
                      <w:rFonts w:hint="default" w:ascii="Times New Roman" w:hAnsi="Times New Roman" w:eastAsia="宋体" w:cs="Times New Roman"/>
                      <w:color w:val="auto"/>
                      <w:sz w:val="21"/>
                      <w:szCs w:val="21"/>
                      <w:lang w:val="en-US" w:eastAsia="zh-CN"/>
                    </w:rPr>
                    <w:t>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430"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▲1#东厂界外1m</w:t>
                  </w:r>
                </w:p>
              </w:tc>
              <w:tc>
                <w:tcPr>
                  <w:tcW w:w="8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52.9</w:t>
                  </w:r>
                </w:p>
              </w:tc>
              <w:tc>
                <w:tcPr>
                  <w:tcW w:w="89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43.6</w:t>
                  </w:r>
                </w:p>
              </w:tc>
              <w:tc>
                <w:tcPr>
                  <w:tcW w:w="89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52.3</w:t>
                  </w:r>
                </w:p>
              </w:tc>
              <w:tc>
                <w:tcPr>
                  <w:tcW w:w="8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430"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▲2#南厂界外1m</w:t>
                  </w:r>
                </w:p>
              </w:tc>
              <w:tc>
                <w:tcPr>
                  <w:tcW w:w="8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53.5</w:t>
                  </w:r>
                </w:p>
              </w:tc>
              <w:tc>
                <w:tcPr>
                  <w:tcW w:w="89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42.3</w:t>
                  </w:r>
                </w:p>
              </w:tc>
              <w:tc>
                <w:tcPr>
                  <w:tcW w:w="89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54.1</w:t>
                  </w:r>
                </w:p>
              </w:tc>
              <w:tc>
                <w:tcPr>
                  <w:tcW w:w="8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30"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▲3#西厂界外1m</w:t>
                  </w:r>
                </w:p>
              </w:tc>
              <w:tc>
                <w:tcPr>
                  <w:tcW w:w="8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54.0</w:t>
                  </w:r>
                </w:p>
              </w:tc>
              <w:tc>
                <w:tcPr>
                  <w:tcW w:w="89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46.3</w:t>
                  </w:r>
                </w:p>
              </w:tc>
              <w:tc>
                <w:tcPr>
                  <w:tcW w:w="89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54.9</w:t>
                  </w:r>
                </w:p>
              </w:tc>
              <w:tc>
                <w:tcPr>
                  <w:tcW w:w="8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▲4#北厂界外1m</w:t>
                  </w:r>
                </w:p>
              </w:tc>
              <w:tc>
                <w:tcPr>
                  <w:tcW w:w="8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54.5</w:t>
                  </w:r>
                </w:p>
              </w:tc>
              <w:tc>
                <w:tcPr>
                  <w:tcW w:w="89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46.2</w:t>
                  </w:r>
                </w:p>
              </w:tc>
              <w:tc>
                <w:tcPr>
                  <w:tcW w:w="892"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55.5</w:t>
                  </w:r>
                </w:p>
              </w:tc>
              <w:tc>
                <w:tcPr>
                  <w:tcW w:w="8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5000" w:type="pct"/>
                  <w:gridSpan w:val="7"/>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r>
                    <w:rPr>
                      <w:rFonts w:hint="eastAsia" w:ascii="Times New Roman" w:hAnsi="Times New Roman" w:eastAsia="宋体" w:cs="Times New Roman"/>
                      <w:color w:val="auto"/>
                      <w:sz w:val="21"/>
                      <w:szCs w:val="21"/>
                      <w:lang w:val="en-US" w:eastAsia="zh-CN"/>
                    </w:rPr>
                    <w:t>2022.10.19</w:t>
                  </w:r>
                  <w:r>
                    <w:rPr>
                      <w:rFonts w:hint="default" w:ascii="Times New Roman" w:hAnsi="Times New Roman" w:eastAsia="宋体" w:cs="Times New Roman"/>
                      <w:color w:val="auto"/>
                      <w:sz w:val="21"/>
                      <w:szCs w:val="21"/>
                      <w:lang w:val="en-US" w:eastAsia="zh-CN"/>
                    </w:rPr>
                    <w:t>昼间：仪器测量前校正值</w:t>
                  </w:r>
                  <w:r>
                    <w:rPr>
                      <w:rFonts w:hint="eastAsia" w:ascii="Times New Roman" w:hAnsi="Times New Roman" w:eastAsia="宋体" w:cs="Times New Roman"/>
                      <w:color w:val="auto"/>
                      <w:sz w:val="21"/>
                      <w:szCs w:val="21"/>
                      <w:lang w:val="en-US" w:eastAsia="zh-CN"/>
                    </w:rPr>
                    <w:t>93.9</w:t>
                  </w:r>
                  <w:r>
                    <w:rPr>
                      <w:rFonts w:hint="default" w:ascii="Times New Roman" w:hAnsi="Times New Roman" w:eastAsia="宋体" w:cs="Times New Roman"/>
                      <w:color w:val="auto"/>
                      <w:sz w:val="21"/>
                      <w:szCs w:val="21"/>
                      <w:lang w:val="en-US" w:eastAsia="zh-CN"/>
                    </w:rPr>
                    <w:t>dB(A)   仪器测量后校正值</w:t>
                  </w:r>
                  <w:r>
                    <w:rPr>
                      <w:rFonts w:hint="eastAsia" w:ascii="Times New Roman" w:hAnsi="Times New Roman" w:eastAsia="宋体" w:cs="Times New Roman"/>
                      <w:color w:val="auto"/>
                      <w:sz w:val="21"/>
                      <w:szCs w:val="21"/>
                      <w:lang w:val="en-US" w:eastAsia="zh-CN"/>
                    </w:rPr>
                    <w:t>93.8</w:t>
                  </w:r>
                  <w:r>
                    <w:rPr>
                      <w:rFonts w:hint="default" w:ascii="Times New Roman" w:hAnsi="Times New Roman" w:eastAsia="宋体" w:cs="Times New Roman"/>
                      <w:color w:val="auto"/>
                      <w:sz w:val="21"/>
                      <w:szCs w:val="21"/>
                      <w:lang w:val="en-US" w:eastAsia="zh-CN"/>
                    </w:rPr>
                    <w:t>dB(A)</w:t>
                  </w:r>
                </w:p>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夜间：</w:t>
                  </w:r>
                  <w:r>
                    <w:rPr>
                      <w:rFonts w:hint="default" w:ascii="Times New Roman" w:hAnsi="Times New Roman" w:eastAsia="宋体" w:cs="Times New Roman"/>
                      <w:color w:val="auto"/>
                      <w:sz w:val="21"/>
                      <w:szCs w:val="21"/>
                      <w:lang w:val="en-US" w:eastAsia="zh-CN"/>
                    </w:rPr>
                    <w:t>仪器测量前校正值</w:t>
                  </w:r>
                  <w:r>
                    <w:rPr>
                      <w:rFonts w:hint="eastAsia" w:ascii="Times New Roman" w:hAnsi="Times New Roman" w:eastAsia="宋体" w:cs="Times New Roman"/>
                      <w:color w:val="auto"/>
                      <w:sz w:val="21"/>
                      <w:szCs w:val="21"/>
                      <w:lang w:val="en-US" w:eastAsia="zh-CN"/>
                    </w:rPr>
                    <w:t>93.8</w:t>
                  </w:r>
                  <w:r>
                    <w:rPr>
                      <w:rFonts w:hint="default" w:ascii="Times New Roman" w:hAnsi="Times New Roman" w:eastAsia="宋体" w:cs="Times New Roman"/>
                      <w:color w:val="auto"/>
                      <w:sz w:val="21"/>
                      <w:szCs w:val="21"/>
                      <w:lang w:val="en-US" w:eastAsia="zh-CN"/>
                    </w:rPr>
                    <w:t>dB(A)   仪器测量后校正值</w:t>
                  </w:r>
                  <w:r>
                    <w:rPr>
                      <w:rFonts w:hint="eastAsia" w:ascii="Times New Roman" w:hAnsi="Times New Roman" w:eastAsia="宋体" w:cs="Times New Roman"/>
                      <w:color w:val="auto"/>
                      <w:sz w:val="21"/>
                      <w:szCs w:val="21"/>
                      <w:lang w:val="en-US" w:eastAsia="zh-CN"/>
                    </w:rPr>
                    <w:t>93.9</w:t>
                  </w:r>
                  <w:r>
                    <w:rPr>
                      <w:rFonts w:hint="default" w:ascii="Times New Roman" w:hAnsi="Times New Roman" w:eastAsia="宋体" w:cs="Times New Roman"/>
                      <w:color w:val="auto"/>
                      <w:sz w:val="21"/>
                      <w:szCs w:val="21"/>
                      <w:lang w:val="en-US" w:eastAsia="zh-CN"/>
                    </w:rPr>
                    <w:t>dB(A)</w:t>
                  </w:r>
                </w:p>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2022.10.20昼</w:t>
                  </w:r>
                  <w:r>
                    <w:rPr>
                      <w:rFonts w:hint="default" w:ascii="Times New Roman" w:hAnsi="Times New Roman" w:eastAsia="宋体" w:cs="Times New Roman"/>
                      <w:color w:val="auto"/>
                      <w:sz w:val="21"/>
                      <w:szCs w:val="21"/>
                      <w:lang w:val="en-US" w:eastAsia="zh-CN"/>
                    </w:rPr>
                    <w:t>间：仪器测量前校正值9</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dB(A)   仪器测量后校正值</w:t>
                  </w:r>
                  <w:r>
                    <w:rPr>
                      <w:rFonts w:hint="eastAsia" w:ascii="Times New Roman" w:hAnsi="Times New Roman" w:eastAsia="宋体" w:cs="Times New Roman"/>
                      <w:color w:val="auto"/>
                      <w:sz w:val="21"/>
                      <w:szCs w:val="21"/>
                      <w:lang w:val="en-US" w:eastAsia="zh-CN"/>
                    </w:rPr>
                    <w:t>93.8</w:t>
                  </w:r>
                  <w:r>
                    <w:rPr>
                      <w:rFonts w:hint="default" w:ascii="Times New Roman" w:hAnsi="Times New Roman" w:eastAsia="宋体" w:cs="Times New Roman"/>
                      <w:color w:val="auto"/>
                      <w:sz w:val="21"/>
                      <w:szCs w:val="21"/>
                      <w:lang w:val="en-US" w:eastAsia="zh-CN"/>
                    </w:rPr>
                    <w:t>dB(A)</w:t>
                  </w:r>
                </w:p>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夜间：</w:t>
                  </w:r>
                  <w:r>
                    <w:rPr>
                      <w:rFonts w:hint="default" w:ascii="Times New Roman" w:hAnsi="Times New Roman" w:eastAsia="宋体" w:cs="Times New Roman"/>
                      <w:color w:val="auto"/>
                      <w:sz w:val="21"/>
                      <w:szCs w:val="21"/>
                      <w:lang w:val="en-US" w:eastAsia="zh-CN"/>
                    </w:rPr>
                    <w:t>仪器测量前校正值</w:t>
                  </w:r>
                  <w:r>
                    <w:rPr>
                      <w:rFonts w:hint="eastAsia" w:ascii="Times New Roman" w:hAnsi="Times New Roman" w:eastAsia="宋体" w:cs="Times New Roman"/>
                      <w:color w:val="auto"/>
                      <w:sz w:val="21"/>
                      <w:szCs w:val="21"/>
                      <w:lang w:val="en-US" w:eastAsia="zh-CN"/>
                    </w:rPr>
                    <w:t>93.8</w:t>
                  </w:r>
                  <w:r>
                    <w:rPr>
                      <w:rFonts w:hint="default" w:ascii="Times New Roman" w:hAnsi="Times New Roman" w:eastAsia="宋体" w:cs="Times New Roman"/>
                      <w:color w:val="auto"/>
                      <w:sz w:val="21"/>
                      <w:szCs w:val="21"/>
                      <w:lang w:val="en-US" w:eastAsia="zh-CN"/>
                    </w:rPr>
                    <w:t>dB(A)   仪器测量后校正值</w:t>
                  </w:r>
                  <w:r>
                    <w:rPr>
                      <w:rFonts w:hint="eastAsia" w:ascii="Times New Roman" w:hAnsi="Times New Roman" w:eastAsia="宋体" w:cs="Times New Roman"/>
                      <w:color w:val="auto"/>
                      <w:sz w:val="21"/>
                      <w:szCs w:val="21"/>
                      <w:lang w:val="en-US" w:eastAsia="zh-CN"/>
                    </w:rPr>
                    <w:t>93.9</w:t>
                  </w:r>
                  <w:r>
                    <w:rPr>
                      <w:rFonts w:hint="default" w:ascii="Times New Roman" w:hAnsi="Times New Roman" w:eastAsia="宋体" w:cs="Times New Roman"/>
                      <w:color w:val="auto"/>
                      <w:sz w:val="21"/>
                      <w:szCs w:val="21"/>
                      <w:lang w:val="en-US" w:eastAsia="zh-CN"/>
                    </w:rPr>
                    <w:t>dB(A)</w:t>
                  </w:r>
                </w:p>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噪声校准器标准值：94.0 dB(A)</w:t>
                  </w:r>
                  <w:r>
                    <w:rPr>
                      <w:rFonts w:hint="eastAsia" w:ascii="Times New Roman" w:hAnsi="Times New Roman" w:eastAsia="宋体" w:cs="Times New Roman"/>
                      <w:color w:val="auto"/>
                      <w:sz w:val="21"/>
                      <w:szCs w:val="21"/>
                      <w:lang w:val="en-US" w:eastAsia="zh-CN"/>
                    </w:rPr>
                    <w:t xml:space="preserve"> </w:t>
                  </w:r>
                </w:p>
              </w:tc>
            </w:tr>
          </w:tbl>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eastAsia="宋体" w:cs="Times New Roman"/>
                <w:color w:val="auto"/>
                <w:sz w:val="24"/>
                <w:szCs w:val="24"/>
                <w:highlight w:val="none"/>
              </w:rPr>
              <w:t>根据噪声检测结果可知，验收检测期间，</w:t>
            </w:r>
            <w:r>
              <w:rPr>
                <w:rFonts w:hint="default" w:ascii="Times New Roman" w:hAnsi="Times New Roman" w:eastAsia="宋体" w:cs="Times New Roman"/>
                <w:color w:val="auto"/>
                <w:sz w:val="24"/>
                <w:szCs w:val="24"/>
                <w:highlight w:val="none"/>
                <w:lang w:eastAsia="zh-CN"/>
              </w:rPr>
              <w:t>企业</w:t>
            </w:r>
            <w:r>
              <w:rPr>
                <w:rFonts w:hint="default" w:ascii="Times New Roman" w:hAnsi="Times New Roman" w:eastAsia="宋体" w:cs="Times New Roman"/>
                <w:color w:val="auto"/>
                <w:sz w:val="24"/>
                <w:szCs w:val="24"/>
                <w:highlight w:val="none"/>
              </w:rPr>
              <w:t>昼间噪声最大值为</w:t>
            </w:r>
            <w:r>
              <w:rPr>
                <w:rFonts w:hint="eastAsia" w:ascii="Times New Roman" w:hAnsi="Times New Roman" w:eastAsia="宋体" w:cs="Times New Roman"/>
                <w:color w:val="auto"/>
                <w:sz w:val="24"/>
                <w:szCs w:val="24"/>
                <w:highlight w:val="none"/>
                <w:lang w:val="en-US" w:eastAsia="zh-CN"/>
              </w:rPr>
              <w:t>55.5</w:t>
            </w:r>
            <w:r>
              <w:rPr>
                <w:rFonts w:hint="default" w:ascii="Times New Roman" w:hAnsi="Times New Roman" w:eastAsia="宋体" w:cs="Times New Roman"/>
                <w:color w:val="auto"/>
                <w:sz w:val="24"/>
                <w:szCs w:val="24"/>
                <w:highlight w:val="none"/>
              </w:rPr>
              <w:t>dB(A)，夜间</w:t>
            </w:r>
            <w:r>
              <w:rPr>
                <w:rFonts w:hint="default" w:ascii="Times New Roman" w:hAnsi="Times New Roman" w:eastAsia="宋体" w:cs="Times New Roman"/>
                <w:color w:val="auto"/>
                <w:sz w:val="24"/>
                <w:szCs w:val="24"/>
                <w:highlight w:val="none"/>
                <w:lang w:eastAsia="zh-CN"/>
              </w:rPr>
              <w:t>噪声最大值为</w:t>
            </w:r>
            <w:r>
              <w:rPr>
                <w:rFonts w:hint="eastAsia" w:ascii="Times New Roman" w:hAnsi="Times New Roman" w:eastAsia="宋体" w:cs="Times New Roman"/>
                <w:color w:val="auto"/>
                <w:sz w:val="24"/>
                <w:szCs w:val="24"/>
                <w:highlight w:val="none"/>
                <w:lang w:val="en-US" w:eastAsia="zh-CN"/>
              </w:rPr>
              <w:t>46.3</w:t>
            </w:r>
            <w:r>
              <w:rPr>
                <w:rFonts w:hint="default" w:ascii="Times New Roman" w:hAnsi="Times New Roman" w:eastAsia="宋体" w:cs="Times New Roman"/>
                <w:color w:val="auto"/>
                <w:sz w:val="24"/>
                <w:szCs w:val="24"/>
                <w:highlight w:val="none"/>
              </w:rPr>
              <w:t>dB(A)，满足《工业企业厂界环境噪声排放标准》（GB12348-2008）</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类标准要求（昼间</w:t>
            </w:r>
            <w:r>
              <w:rPr>
                <w:rFonts w:hint="eastAsia"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dB(A)，夜间</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dB(A)）。</w:t>
            </w:r>
            <w:r>
              <w:rPr>
                <w:rFonts w:hint="default" w:ascii="Times New Roman" w:hAnsi="Times New Roman" w:eastAsia="宋体" w:cs="Times New Roman"/>
                <w:color w:val="auto"/>
                <w:sz w:val="24"/>
                <w:szCs w:val="24"/>
              </w:rPr>
              <w:br w:type="textWrapping"/>
            </w:r>
            <w:r>
              <w:rPr>
                <w:rFonts w:hint="default" w:ascii="Times New Roman" w:hAnsi="Times New Roman" w:cs="Times New Roman" w:eastAsiaTheme="minorEastAsia"/>
                <w:b/>
                <w:bCs/>
                <w:color w:val="auto"/>
                <w:sz w:val="24"/>
                <w:szCs w:val="24"/>
                <w:highlight w:val="none"/>
              </w:rPr>
              <w:t>7.2.</w:t>
            </w:r>
            <w:r>
              <w:rPr>
                <w:rFonts w:hint="default" w:ascii="Times New Roman" w:hAnsi="Times New Roman" w:cs="Times New Roman" w:eastAsiaTheme="minorEastAsia"/>
                <w:b/>
                <w:bCs/>
                <w:color w:val="auto"/>
                <w:sz w:val="24"/>
                <w:szCs w:val="24"/>
                <w:highlight w:val="none"/>
                <w:lang w:val="en-US" w:eastAsia="zh-CN"/>
              </w:rPr>
              <w:t>3废水</w:t>
            </w:r>
            <w:r>
              <w:rPr>
                <w:rFonts w:hint="default" w:ascii="Times New Roman" w:hAnsi="Times New Roman" w:cs="Times New Roman" w:eastAsiaTheme="minorEastAsia"/>
                <w:b/>
                <w:bCs/>
                <w:color w:val="auto"/>
                <w:sz w:val="24"/>
                <w:szCs w:val="24"/>
                <w:highlight w:val="none"/>
                <w:lang w:val="zh-CN"/>
              </w:rPr>
              <w:t>检测结果</w:t>
            </w:r>
          </w:p>
          <w:p>
            <w:pPr>
              <w:widowControl/>
              <w:spacing w:after="0" w:line="560" w:lineRule="exact"/>
              <w:ind w:firstLine="480" w:firstLineChars="200"/>
              <w:jc w:val="both"/>
              <w:rPr>
                <w:rFonts w:hint="default" w:ascii="Times New Roman" w:hAnsi="Times New Roman" w:eastAsia="新宋体" w:cs="Times New Roman"/>
                <w:color w:val="auto"/>
                <w:sz w:val="24"/>
                <w:szCs w:val="24"/>
                <w:highlight w:val="none"/>
              </w:rPr>
            </w:pPr>
            <w:r>
              <w:rPr>
                <w:rFonts w:hint="default" w:ascii="Times New Roman" w:hAnsi="Times New Roman" w:cs="Times New Roman" w:eastAsiaTheme="minorEastAsia"/>
                <w:color w:val="auto"/>
                <w:sz w:val="24"/>
                <w:szCs w:val="24"/>
                <w:highlight w:val="none"/>
                <w:lang w:eastAsia="zh-CN"/>
              </w:rPr>
              <w:t>废水</w:t>
            </w:r>
            <w:r>
              <w:rPr>
                <w:rFonts w:hint="default" w:ascii="Times New Roman" w:hAnsi="Times New Roman" w:eastAsia="新宋体" w:cs="Times New Roman"/>
                <w:color w:val="auto"/>
                <w:sz w:val="24"/>
                <w:szCs w:val="24"/>
                <w:highlight w:val="none"/>
                <w:lang w:val="zh-CN"/>
              </w:rPr>
              <w:t>检测结果如下表</w:t>
            </w:r>
            <w:r>
              <w:rPr>
                <w:rFonts w:hint="default" w:ascii="Times New Roman" w:hAnsi="Times New Roman" w:eastAsia="新宋体" w:cs="Times New Roman"/>
                <w:color w:val="auto"/>
                <w:sz w:val="24"/>
                <w:szCs w:val="24"/>
                <w:highlight w:val="none"/>
              </w:rPr>
              <w:t>。</w:t>
            </w:r>
          </w:p>
          <w:p>
            <w:pPr>
              <w:widowControl/>
              <w:spacing w:after="0" w:line="560" w:lineRule="exact"/>
              <w:ind w:firstLine="482" w:firstLineChars="200"/>
              <w:jc w:val="center"/>
              <w:rPr>
                <w:rFonts w:hint="default" w:ascii="Times New Roman" w:hAnsi="Times New Roman" w:cs="Times New Roman" w:eastAsiaTheme="minorEastAsia"/>
                <w:b/>
                <w:bCs/>
                <w:color w:val="auto"/>
                <w:sz w:val="24"/>
                <w:szCs w:val="24"/>
                <w:highlight w:val="none"/>
                <w:lang w:val="zh-CN"/>
              </w:rPr>
            </w:pPr>
            <w:r>
              <w:rPr>
                <w:rFonts w:hint="default" w:ascii="Times New Roman" w:hAnsi="Times New Roman" w:cs="Times New Roman" w:eastAsiaTheme="minorEastAsia"/>
                <w:b/>
                <w:bCs/>
                <w:color w:val="auto"/>
                <w:sz w:val="24"/>
                <w:szCs w:val="24"/>
                <w:highlight w:val="none"/>
                <w:lang w:val="zh-CN"/>
              </w:rPr>
              <w:t>表</w:t>
            </w:r>
            <w:r>
              <w:rPr>
                <w:rFonts w:hint="default" w:ascii="Times New Roman" w:hAnsi="Times New Roman" w:cs="Times New Roman" w:eastAsiaTheme="minorEastAsia"/>
                <w:b/>
                <w:bCs/>
                <w:color w:val="auto"/>
                <w:sz w:val="24"/>
                <w:szCs w:val="24"/>
                <w:highlight w:val="none"/>
              </w:rPr>
              <w:t>7-</w:t>
            </w:r>
            <w:r>
              <w:rPr>
                <w:rFonts w:hint="default" w:ascii="Times New Roman" w:hAnsi="Times New Roman" w:cs="Times New Roman" w:eastAsiaTheme="minorEastAsia"/>
                <w:b/>
                <w:bCs/>
                <w:color w:val="auto"/>
                <w:sz w:val="24"/>
                <w:szCs w:val="24"/>
                <w:highlight w:val="none"/>
                <w:lang w:val="en-US" w:eastAsia="zh-CN"/>
              </w:rPr>
              <w:t xml:space="preserve">6 </w:t>
            </w:r>
            <w:r>
              <w:rPr>
                <w:rFonts w:hint="default" w:ascii="Times New Roman" w:hAnsi="Times New Roman" w:cs="Times New Roman" w:eastAsiaTheme="minorEastAsia"/>
                <w:b/>
                <w:bCs/>
                <w:color w:val="auto"/>
                <w:sz w:val="24"/>
                <w:szCs w:val="24"/>
                <w:highlight w:val="none"/>
                <w:lang w:val="zh-CN"/>
              </w:rPr>
              <w:t xml:space="preserve"> 废水检测结果</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10"/>
              <w:gridCol w:w="986"/>
              <w:gridCol w:w="986"/>
              <w:gridCol w:w="986"/>
              <w:gridCol w:w="986"/>
              <w:gridCol w:w="986"/>
              <w:gridCol w:w="986"/>
              <w:gridCol w:w="986"/>
              <w:gridCol w:w="9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10"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采样点位</w:t>
                  </w:r>
                </w:p>
              </w:tc>
              <w:tc>
                <w:tcPr>
                  <w:tcW w:w="4587" w:type="pct"/>
                  <w:gridSpan w:val="8"/>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厂区废水总排口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25"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采样时间</w:t>
                  </w:r>
                </w:p>
              </w:tc>
              <w:tc>
                <w:tcPr>
                  <w:tcW w:w="2293" w:type="pct"/>
                  <w:gridSpan w:val="4"/>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2022年10月19日</w:t>
                  </w:r>
                </w:p>
              </w:tc>
              <w:tc>
                <w:tcPr>
                  <w:tcW w:w="2293" w:type="pct"/>
                  <w:gridSpan w:val="4"/>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2022年10月20日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0"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采样频次</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第四次</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第四次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0"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样品编码</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2210302WS001</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2210302WS002</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2210302WS003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2210302WS004</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2210302WS005</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2210302WS006</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2210302WS007</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2210302WS008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0"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pH值（无量纲）</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7.87</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7.75</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7.79</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7.69</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7.88</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7.74</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0"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化学需氧量（mg/L）</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129</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116</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112</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0"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氨氮（mg/L）</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0.438</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0.406</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0.449</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0.415</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0.477</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0.453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0.396</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0"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五日生化需氧量（mg/L）</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47.8</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0"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悬浮物（mg/L）</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0"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溶解性总固体（mg/L）</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924</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956</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989</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1024</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968</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992</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1022</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0"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总磷（mg/L）</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0.70</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0.67</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0.72</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0.70</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0.65</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0.69</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0.72</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0"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总氮（mg/L）</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1.99</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2.17</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1.49</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2.41</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2.16</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1.33</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1.49</w:t>
                  </w:r>
                </w:p>
              </w:tc>
              <w:tc>
                <w:tcPr>
                  <w:tcW w:w="5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20" w:hRule="atLeast"/>
                <w:jc w:val="center"/>
              </w:trPr>
              <w:tc>
                <w:tcPr>
                  <w:tcW w:w="4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c>
                <w:tcPr>
                  <w:tcW w:w="4587" w:type="pct"/>
                  <w:gridSpan w:val="8"/>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widowControl w:val="0"/>
              <w:spacing w:after="0" w:line="560" w:lineRule="exact"/>
              <w:ind w:firstLine="480" w:firstLineChars="200"/>
              <w:jc w:val="both"/>
              <w:rPr>
                <w:rFonts w:hint="default" w:ascii="Times New Roman" w:hAnsi="Times New Roman" w:eastAsia="宋体" w:cs="Times New Roman"/>
                <w:color w:val="0000FF"/>
              </w:rPr>
            </w:pPr>
            <w:r>
              <w:rPr>
                <w:rFonts w:hint="default" w:ascii="Times New Roman" w:hAnsi="Times New Roman" w:cs="Times New Roman" w:eastAsiaTheme="minorEastAsia"/>
                <w:color w:val="auto"/>
                <w:sz w:val="24"/>
                <w:szCs w:val="24"/>
                <w:highlight w:val="none"/>
              </w:rPr>
              <w:t>根据</w:t>
            </w:r>
            <w:r>
              <w:rPr>
                <w:rFonts w:hint="default" w:ascii="Times New Roman" w:hAnsi="Times New Roman" w:cs="Times New Roman" w:eastAsiaTheme="minorEastAsia"/>
                <w:color w:val="auto"/>
                <w:sz w:val="24"/>
                <w:szCs w:val="24"/>
                <w:highlight w:val="none"/>
                <w:lang w:eastAsia="zh-CN"/>
              </w:rPr>
              <w:t>废水</w:t>
            </w:r>
            <w:r>
              <w:rPr>
                <w:rFonts w:hint="default" w:ascii="Times New Roman" w:hAnsi="Times New Roman" w:cs="Times New Roman" w:eastAsiaTheme="minorEastAsia"/>
                <w:color w:val="auto"/>
                <w:sz w:val="24"/>
                <w:szCs w:val="24"/>
                <w:highlight w:val="none"/>
              </w:rPr>
              <w:t>检测结果可知，验收检测期间，废水中</w:t>
            </w:r>
            <w:r>
              <w:rPr>
                <w:rFonts w:hint="default" w:ascii="Times New Roman" w:hAnsi="Times New Roman" w:cs="Times New Roman" w:eastAsiaTheme="minorEastAsia"/>
                <w:color w:val="auto"/>
                <w:sz w:val="24"/>
                <w:szCs w:val="24"/>
                <w:highlight w:val="none"/>
                <w:lang w:val="en-US" w:eastAsia="zh-CN"/>
              </w:rPr>
              <w:t>pH 日最大范围值为 7.</w:t>
            </w:r>
            <w:r>
              <w:rPr>
                <w:rFonts w:hint="eastAsia" w:ascii="Times New Roman" w:hAnsi="Times New Roman"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lang w:val="en-US" w:eastAsia="zh-CN"/>
              </w:rPr>
              <w:t>-7.8</w:t>
            </w:r>
            <w:r>
              <w:rPr>
                <w:rFonts w:hint="eastAsia"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lang w:val="en-US" w:eastAsia="zh-CN"/>
              </w:rPr>
              <w:t>（无量纲）</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val="en-US" w:eastAsia="zh-CN"/>
              </w:rPr>
              <w:t>悬浮物</w:t>
            </w:r>
            <w:r>
              <w:rPr>
                <w:rFonts w:hint="default" w:ascii="Times New Roman" w:hAnsi="Times New Roman" w:cs="Times New Roman" w:eastAsiaTheme="minorEastAsia"/>
                <w:color w:val="auto"/>
                <w:sz w:val="24"/>
                <w:szCs w:val="24"/>
                <w:highlight w:val="none"/>
                <w:lang w:eastAsia="zh-CN"/>
              </w:rPr>
              <w:t>平均值为</w:t>
            </w:r>
            <w:r>
              <w:rPr>
                <w:rFonts w:hint="eastAsia" w:ascii="Times New Roman" w:hAnsi="Times New Roman" w:eastAsia="宋体" w:cs="Times New Roman"/>
                <w:b w:val="0"/>
                <w:bCs w:val="0"/>
                <w:color w:val="auto"/>
                <w:sz w:val="24"/>
                <w:szCs w:val="24"/>
                <w:highlight w:val="none"/>
                <w:lang w:val="en-US" w:eastAsia="zh-CN"/>
              </w:rPr>
              <w:t>12.6</w:t>
            </w:r>
            <w:r>
              <w:rPr>
                <w:rFonts w:hint="default" w:ascii="Times New Roman" w:hAnsi="Times New Roman" w:eastAsia="宋体" w:cs="Times New Roman"/>
                <w:b w:val="0"/>
                <w:bCs w:val="0"/>
                <w:color w:val="auto"/>
                <w:sz w:val="24"/>
                <w:szCs w:val="24"/>
                <w:highlight w:val="none"/>
                <w:lang w:val="en-US" w:eastAsia="zh-CN"/>
              </w:rPr>
              <w:t>mg/L、化学需氧量平均值为</w:t>
            </w:r>
            <w:r>
              <w:rPr>
                <w:rFonts w:hint="eastAsia" w:ascii="Times New Roman" w:hAnsi="Times New Roman" w:eastAsia="宋体" w:cs="Times New Roman"/>
                <w:b w:val="0"/>
                <w:bCs w:val="0"/>
                <w:color w:val="auto"/>
                <w:sz w:val="24"/>
                <w:szCs w:val="24"/>
                <w:highlight w:val="none"/>
                <w:lang w:val="en-US" w:eastAsia="zh-CN"/>
              </w:rPr>
              <w:t>130.8</w:t>
            </w:r>
            <w:r>
              <w:rPr>
                <w:rFonts w:hint="default" w:ascii="Times New Roman" w:hAnsi="Times New Roman" w:eastAsia="宋体" w:cs="Times New Roman"/>
                <w:b w:val="0"/>
                <w:bCs w:val="0"/>
                <w:color w:val="auto"/>
                <w:sz w:val="24"/>
                <w:szCs w:val="24"/>
                <w:highlight w:val="none"/>
                <w:lang w:val="en-US" w:eastAsia="zh-CN"/>
              </w:rPr>
              <w:t>mg/L、</w:t>
            </w:r>
            <w:r>
              <w:rPr>
                <w:rFonts w:hint="default" w:ascii="Times New Roman" w:hAnsi="Times New Roman" w:eastAsia="宋体" w:cs="Times New Roman"/>
                <w:b w:val="0"/>
                <w:bCs w:val="0"/>
                <w:color w:val="auto"/>
                <w:sz w:val="24"/>
                <w:szCs w:val="24"/>
                <w:highlight w:val="none"/>
                <w:lang w:eastAsia="zh-CN"/>
              </w:rPr>
              <w:t>氨氮</w:t>
            </w:r>
            <w:r>
              <w:rPr>
                <w:rFonts w:hint="default" w:ascii="Times New Roman" w:hAnsi="Times New Roman" w:eastAsia="宋体" w:cs="Times New Roman"/>
                <w:b w:val="0"/>
                <w:bCs w:val="0"/>
                <w:color w:val="auto"/>
                <w:sz w:val="24"/>
                <w:szCs w:val="24"/>
                <w:highlight w:val="none"/>
                <w:lang w:val="en-US" w:eastAsia="zh-CN"/>
              </w:rPr>
              <w:t>平均值为</w:t>
            </w:r>
            <w:r>
              <w:rPr>
                <w:rFonts w:hint="eastAsia" w:ascii="Times New Roman" w:hAnsi="Times New Roman" w:eastAsia="宋体" w:cs="Times New Roman"/>
                <w:b w:val="0"/>
                <w:bCs w:val="0"/>
                <w:color w:val="auto"/>
                <w:sz w:val="24"/>
                <w:szCs w:val="24"/>
                <w:highlight w:val="none"/>
                <w:lang w:val="en-US" w:eastAsia="zh-CN"/>
              </w:rPr>
              <w:t>0.44</w:t>
            </w:r>
            <w:r>
              <w:rPr>
                <w:rFonts w:hint="default" w:ascii="Times New Roman" w:hAnsi="Times New Roman" w:eastAsia="宋体" w:cs="Times New Roman"/>
                <w:b w:val="0"/>
                <w:bCs w:val="0"/>
                <w:color w:val="auto"/>
                <w:sz w:val="24"/>
                <w:szCs w:val="24"/>
                <w:highlight w:val="none"/>
                <w:lang w:val="en-US" w:eastAsia="zh-CN"/>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五日生化需氧量平均值为</w:t>
            </w:r>
            <w:r>
              <w:rPr>
                <w:rFonts w:hint="eastAsia" w:ascii="Times New Roman" w:hAnsi="Times New Roman" w:eastAsia="宋体" w:cs="Times New Roman"/>
                <w:b w:val="0"/>
                <w:bCs w:val="0"/>
                <w:color w:val="auto"/>
                <w:sz w:val="24"/>
                <w:szCs w:val="24"/>
                <w:highlight w:val="none"/>
                <w:lang w:val="en-US" w:eastAsia="zh-CN"/>
              </w:rPr>
              <w:t>46.36</w:t>
            </w:r>
            <w:r>
              <w:rPr>
                <w:rFonts w:hint="default" w:ascii="Times New Roman" w:hAnsi="Times New Roman" w:eastAsia="宋体" w:cs="Times New Roman"/>
                <w:b w:val="0"/>
                <w:bCs w:val="0"/>
                <w:color w:val="auto"/>
                <w:sz w:val="24"/>
                <w:szCs w:val="24"/>
                <w:highlight w:val="none"/>
                <w:lang w:val="en-US" w:eastAsia="zh-CN"/>
              </w:rPr>
              <w:t>mg/L、</w:t>
            </w:r>
            <w:r>
              <w:rPr>
                <w:rFonts w:hint="eastAsia" w:ascii="Times New Roman" w:hAnsi="Times New Roman" w:eastAsia="宋体" w:cs="Times New Roman"/>
                <w:b w:val="0"/>
                <w:bCs w:val="0"/>
                <w:color w:val="auto"/>
                <w:sz w:val="24"/>
                <w:szCs w:val="24"/>
                <w:highlight w:val="none"/>
                <w:lang w:val="en-US" w:eastAsia="zh-CN"/>
              </w:rPr>
              <w:t>总磷</w:t>
            </w:r>
            <w:r>
              <w:rPr>
                <w:rFonts w:hint="default" w:ascii="Times New Roman" w:hAnsi="Times New Roman" w:eastAsia="宋体" w:cs="Times New Roman"/>
                <w:b w:val="0"/>
                <w:bCs w:val="0"/>
                <w:color w:val="auto"/>
                <w:sz w:val="24"/>
                <w:szCs w:val="24"/>
                <w:highlight w:val="none"/>
                <w:lang w:val="en-US" w:eastAsia="zh-CN"/>
              </w:rPr>
              <w:t>平均值为</w:t>
            </w:r>
            <w:r>
              <w:rPr>
                <w:rFonts w:hint="eastAsia" w:ascii="Times New Roman" w:hAnsi="Times New Roman" w:eastAsia="宋体" w:cs="Times New Roman"/>
                <w:b w:val="0"/>
                <w:bCs w:val="0"/>
                <w:color w:val="auto"/>
                <w:sz w:val="24"/>
                <w:szCs w:val="24"/>
                <w:highlight w:val="none"/>
                <w:lang w:val="en-US" w:eastAsia="zh-CN"/>
              </w:rPr>
              <w:t>0.69</w:t>
            </w:r>
            <w:r>
              <w:rPr>
                <w:rFonts w:hint="default" w:ascii="Times New Roman" w:hAnsi="Times New Roman" w:eastAsia="宋体" w:cs="Times New Roman"/>
                <w:b w:val="0"/>
                <w:bCs w:val="0"/>
                <w:color w:val="auto"/>
                <w:sz w:val="24"/>
                <w:szCs w:val="24"/>
                <w:highlight w:val="none"/>
                <w:lang w:val="en-US" w:eastAsia="zh-CN"/>
              </w:rPr>
              <w:t>mg/L、溶解性总固体平均值为</w:t>
            </w:r>
            <w:r>
              <w:rPr>
                <w:rFonts w:hint="eastAsia" w:ascii="Times New Roman" w:hAnsi="Times New Roman" w:eastAsia="宋体" w:cs="Times New Roman"/>
                <w:b w:val="0"/>
                <w:bCs w:val="0"/>
                <w:color w:val="auto"/>
                <w:sz w:val="24"/>
                <w:szCs w:val="24"/>
                <w:highlight w:val="none"/>
                <w:lang w:val="en-US" w:eastAsia="zh-CN"/>
              </w:rPr>
              <w:t>982.37</w:t>
            </w:r>
            <w:r>
              <w:rPr>
                <w:rFonts w:hint="default" w:ascii="Times New Roman" w:hAnsi="Times New Roman" w:eastAsia="宋体" w:cs="Times New Roman"/>
                <w:b w:val="0"/>
                <w:bCs w:val="0"/>
                <w:color w:val="auto"/>
                <w:sz w:val="24"/>
                <w:szCs w:val="24"/>
                <w:highlight w:val="none"/>
                <w:lang w:val="en-US" w:eastAsia="zh-CN"/>
              </w:rPr>
              <w:t>mg/L、总氮平均值为1.</w:t>
            </w:r>
            <w:r>
              <w:rPr>
                <w:rFonts w:hint="eastAsia" w:ascii="Times New Roman" w:hAnsi="Times New Roman" w:eastAsia="宋体" w:cs="Times New Roman"/>
                <w:b w:val="0"/>
                <w:bCs w:val="0"/>
                <w:color w:val="auto"/>
                <w:sz w:val="24"/>
                <w:szCs w:val="24"/>
                <w:highlight w:val="none"/>
                <w:lang w:val="en-US" w:eastAsia="zh-CN"/>
              </w:rPr>
              <w:t>83</w:t>
            </w:r>
            <w:r>
              <w:rPr>
                <w:rFonts w:hint="default" w:ascii="Times New Roman" w:hAnsi="Times New Roman" w:eastAsia="宋体" w:cs="Times New Roman"/>
                <w:b w:val="0"/>
                <w:bCs w:val="0"/>
                <w:color w:val="auto"/>
                <w:sz w:val="24"/>
                <w:szCs w:val="24"/>
                <w:highlight w:val="none"/>
                <w:lang w:val="en-US" w:eastAsia="zh-CN"/>
              </w:rPr>
              <w:t>mg/L</w:t>
            </w:r>
            <w:r>
              <w:rPr>
                <w:rFonts w:hint="default" w:ascii="Times New Roman" w:hAnsi="Times New Roman" w:eastAsia="宋体" w:cs="Times New Roman"/>
                <w:b w:val="0"/>
                <w:bCs w:val="0"/>
                <w:color w:val="auto"/>
                <w:sz w:val="24"/>
                <w:szCs w:val="24"/>
                <w:highlight w:val="none"/>
                <w:lang w:eastAsia="zh-CN"/>
              </w:rPr>
              <w:t>，</w:t>
            </w:r>
            <w:r>
              <w:rPr>
                <w:rFonts w:ascii="Times New Roman" w:hAnsi="Times New Roman" w:cs="Times New Roman" w:eastAsiaTheme="minorEastAsia"/>
                <w:sz w:val="24"/>
                <w:szCs w:val="24"/>
                <w:highlight w:val="none"/>
              </w:rPr>
              <w:t>排放</w:t>
            </w:r>
            <w:r>
              <w:rPr>
                <w:rFonts w:hint="eastAsia" w:ascii="Times New Roman" w:hAnsi="Times New Roman" w:cs="Times New Roman" w:eastAsiaTheme="minorEastAsia"/>
                <w:sz w:val="24"/>
                <w:szCs w:val="24"/>
                <w:highlight w:val="none"/>
              </w:rPr>
              <w:t>均</w:t>
            </w:r>
            <w:r>
              <w:rPr>
                <w:rFonts w:ascii="Times New Roman" w:hAnsi="Times New Roman" w:cs="Times New Roman" w:eastAsiaTheme="minorEastAsia"/>
                <w:sz w:val="24"/>
                <w:szCs w:val="24"/>
                <w:highlight w:val="none"/>
              </w:rPr>
              <w:t>满足《污水排入城镇下水道水质标准》（GB/T31962-2015）</w:t>
            </w:r>
            <w:r>
              <w:rPr>
                <w:rFonts w:hint="eastAsia" w:ascii="Times New Roman" w:hAnsi="Times New Roman" w:cs="Times New Roman" w:eastAsiaTheme="minorEastAsia"/>
                <w:sz w:val="24"/>
                <w:szCs w:val="24"/>
                <w:highlight w:val="none"/>
              </w:rPr>
              <w:t>B</w:t>
            </w:r>
            <w:r>
              <w:rPr>
                <w:rFonts w:ascii="Times New Roman" w:hAnsi="Times New Roman" w:cs="Times New Roman" w:eastAsiaTheme="minorEastAsia"/>
                <w:sz w:val="24"/>
                <w:szCs w:val="24"/>
                <w:highlight w:val="none"/>
              </w:rPr>
              <w:t>级标准。</w:t>
            </w:r>
            <w:r>
              <w:rPr>
                <w:rFonts w:hint="default" w:ascii="Times New Roman" w:hAnsi="Times New Roman" w:cs="Times New Roman" w:eastAsiaTheme="minorEastAsia"/>
                <w:color w:val="auto"/>
                <w:sz w:val="24"/>
                <w:szCs w:val="24"/>
                <w:highlight w:val="none"/>
                <w:lang w:eastAsia="zh-CN"/>
              </w:rPr>
              <w:br w:type="textWrapping"/>
            </w:r>
            <w:r>
              <w:rPr>
                <w:rFonts w:hint="default" w:ascii="Times New Roman" w:hAnsi="Times New Roman" w:cs="Times New Roman" w:eastAsiaTheme="minorEastAsia"/>
                <w:color w:val="auto"/>
                <w:sz w:val="24"/>
                <w:szCs w:val="24"/>
                <w:highlight w:val="none"/>
                <w:lang w:eastAsia="zh-CN"/>
              </w:rPr>
              <w:br w:type="textWrapping"/>
            </w:r>
            <w:r>
              <w:rPr>
                <w:rFonts w:hint="default" w:ascii="Times New Roman" w:hAnsi="Times New Roman" w:cs="Times New Roman" w:eastAsiaTheme="minorEastAsia"/>
                <w:color w:val="auto"/>
                <w:sz w:val="24"/>
                <w:szCs w:val="24"/>
                <w:highlight w:val="none"/>
                <w:lang w:eastAsia="zh-CN"/>
              </w:rPr>
              <w:br w:type="textWrapping"/>
            </w:r>
            <w:r>
              <w:rPr>
                <w:rFonts w:hint="default" w:ascii="Times New Roman" w:hAnsi="Times New Roman" w:cs="Times New Roman" w:eastAsiaTheme="minorEastAsia"/>
                <w:color w:val="auto"/>
                <w:sz w:val="24"/>
                <w:szCs w:val="24"/>
                <w:highlight w:val="none"/>
                <w:lang w:eastAsia="zh-CN"/>
              </w:rPr>
              <w:br w:type="textWrapping"/>
            </w:r>
            <w:r>
              <w:rPr>
                <w:rFonts w:hint="default" w:ascii="Times New Roman" w:hAnsi="Times New Roman" w:cs="Times New Roman" w:eastAsiaTheme="minorEastAsia"/>
                <w:color w:val="auto"/>
                <w:sz w:val="24"/>
                <w:szCs w:val="24"/>
                <w:highlight w:val="none"/>
                <w:lang w:eastAsia="zh-CN"/>
              </w:rPr>
              <w:br w:type="textWrapping"/>
            </w:r>
            <w:r>
              <w:rPr>
                <w:rFonts w:hint="default" w:ascii="Times New Roman" w:hAnsi="Times New Roman" w:cs="Times New Roman" w:eastAsiaTheme="minorEastAsia"/>
                <w:color w:val="auto"/>
                <w:sz w:val="24"/>
                <w:szCs w:val="24"/>
                <w:highlight w:val="none"/>
                <w:lang w:eastAsia="zh-CN"/>
              </w:rPr>
              <w:br w:type="textWrapping"/>
            </w:r>
            <w:r>
              <w:rPr>
                <w:rFonts w:hint="default" w:ascii="Times New Roman" w:hAnsi="Times New Roman" w:cs="Times New Roman" w:eastAsiaTheme="minorEastAsia"/>
                <w:color w:val="auto"/>
                <w:sz w:val="24"/>
                <w:szCs w:val="24"/>
                <w:highlight w:val="none"/>
                <w:lang w:eastAsia="zh-CN"/>
              </w:rPr>
              <w:br w:type="textWrapping"/>
            </w:r>
            <w:r>
              <w:rPr>
                <w:rFonts w:hint="default" w:ascii="Times New Roman" w:hAnsi="Times New Roman" w:cs="Times New Roman" w:eastAsiaTheme="minorEastAsia"/>
                <w:color w:val="auto"/>
                <w:sz w:val="24"/>
                <w:szCs w:val="24"/>
                <w:highlight w:val="none"/>
                <w:lang w:eastAsia="zh-CN"/>
              </w:rPr>
              <w:br w:type="textWrapping"/>
            </w:r>
          </w:p>
        </w:tc>
      </w:tr>
    </w:tbl>
    <w:p>
      <w:pPr>
        <w:pStyle w:val="2"/>
        <w:ind w:left="0" w:leftChars="0" w:firstLine="0" w:firstLineChars="0"/>
        <w:rPr>
          <w:rFonts w:hint="default" w:ascii="Times New Roman" w:hAnsi="Times New Roman" w:eastAsia="宋体" w:cs="Times New Roman"/>
          <w:color w:val="0000FF"/>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表八</w:t>
      </w:r>
    </w:p>
    <w:tbl>
      <w:tblPr>
        <w:tblStyle w:val="24"/>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widowControl/>
              <w:spacing w:after="0" w:line="560" w:lineRule="exact"/>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8.验收监测结论</w:t>
            </w:r>
          </w:p>
          <w:p>
            <w:pPr>
              <w:widowControl/>
              <w:spacing w:after="0" w:line="560" w:lineRule="exact"/>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8.1项目概况</w:t>
            </w:r>
          </w:p>
          <w:p>
            <w:pPr>
              <w:widowControl w:val="0"/>
              <w:spacing w:after="0" w:line="560" w:lineRule="exact"/>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山东南山铝业股份有限公司木托盘、包装木箱生产线建设项目</w:t>
            </w:r>
            <w:r>
              <w:rPr>
                <w:rFonts w:hint="default" w:ascii="Times New Roman" w:hAnsi="Times New Roman" w:eastAsia="宋体" w:cs="Times New Roman"/>
                <w:color w:val="auto"/>
                <w:sz w:val="24"/>
                <w:szCs w:val="24"/>
                <w:highlight w:val="none"/>
              </w:rPr>
              <w:t>位于</w:t>
            </w:r>
            <w:r>
              <w:rPr>
                <w:rFonts w:hint="eastAsia" w:ascii="Times New Roman" w:hAnsi="Times New Roman" w:eastAsia="宋体" w:cs="Times New Roman"/>
                <w:color w:val="auto"/>
                <w:sz w:val="24"/>
                <w:szCs w:val="24"/>
                <w:highlight w:val="none"/>
                <w:lang w:eastAsia="zh-CN"/>
              </w:rPr>
              <w:t>山东省烟台市龙口市山东南山铝业股份有限公司现有厂区内</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color w:val="auto"/>
                <w:sz w:val="24"/>
                <w:highlight w:val="none"/>
              </w:rPr>
              <w:t>投资</w:t>
            </w:r>
            <w:r>
              <w:rPr>
                <w:rFonts w:hint="eastAsia" w:ascii="Times New Roman" w:hAnsi="Times New Roman" w:eastAsia="宋体" w:cs="Times New Roman"/>
                <w:b w:val="0"/>
                <w:bCs/>
                <w:color w:val="auto"/>
                <w:sz w:val="24"/>
                <w:highlight w:val="none"/>
                <w:lang w:val="en-US" w:eastAsia="zh-CN"/>
              </w:rPr>
              <w:t>720万元建设</w:t>
            </w:r>
            <w:r>
              <w:rPr>
                <w:rFonts w:hint="eastAsia" w:ascii="Times New Roman" w:hAnsi="Times New Roman" w:eastAsia="宋体" w:cs="Times New Roman"/>
                <w:color w:val="auto"/>
                <w:sz w:val="24"/>
                <w:szCs w:val="24"/>
                <w:highlight w:val="none"/>
                <w:lang w:eastAsia="zh-CN"/>
              </w:rPr>
              <w:t>木托盘、包装木箱生产线建设项目</w:t>
            </w:r>
            <w:r>
              <w:rPr>
                <w:rFonts w:hint="default" w:ascii="Times New Roman" w:hAnsi="Times New Roman" w:eastAsia="宋体" w:cs="Times New Roman"/>
                <w:bCs/>
                <w:color w:val="auto"/>
                <w:sz w:val="24"/>
                <w:szCs w:val="24"/>
                <w:highlight w:val="none"/>
                <w:lang w:val="en-US" w:eastAsia="zh-CN"/>
              </w:rPr>
              <w:t>。本项目年工作日</w:t>
            </w:r>
            <w:r>
              <w:rPr>
                <w:rFonts w:hint="eastAsia" w:ascii="Times New Roman" w:hAnsi="Times New Roman" w:eastAsia="宋体" w:cs="Times New Roman"/>
                <w:bCs/>
                <w:color w:val="auto"/>
                <w:sz w:val="24"/>
                <w:szCs w:val="24"/>
                <w:highlight w:val="none"/>
                <w:lang w:val="en-US" w:eastAsia="zh-CN"/>
              </w:rPr>
              <w:t>300</w:t>
            </w:r>
            <w:r>
              <w:rPr>
                <w:rFonts w:hint="default" w:ascii="Times New Roman" w:hAnsi="Times New Roman" w:eastAsia="宋体" w:cs="Times New Roman"/>
                <w:bCs/>
                <w:color w:val="auto"/>
                <w:sz w:val="24"/>
                <w:szCs w:val="24"/>
                <w:highlight w:val="none"/>
                <w:lang w:val="en-US" w:eastAsia="zh-CN"/>
              </w:rPr>
              <w:t>天，日工作8小时，员工定员</w:t>
            </w:r>
            <w:r>
              <w:rPr>
                <w:rFonts w:hint="eastAsia" w:ascii="Times New Roman" w:hAnsi="Times New Roman" w:eastAsia="宋体" w:cs="Times New Roman"/>
                <w:bCs/>
                <w:color w:val="auto"/>
                <w:sz w:val="24"/>
                <w:szCs w:val="24"/>
                <w:highlight w:val="none"/>
                <w:lang w:val="en-US" w:eastAsia="zh-CN"/>
              </w:rPr>
              <w:t>120</w:t>
            </w:r>
            <w:r>
              <w:rPr>
                <w:rFonts w:hint="default" w:ascii="Times New Roman" w:hAnsi="Times New Roman" w:eastAsia="宋体" w:cs="Times New Roman"/>
                <w:bCs/>
                <w:color w:val="auto"/>
                <w:sz w:val="24"/>
                <w:szCs w:val="24"/>
                <w:highlight w:val="none"/>
                <w:lang w:val="en-US" w:eastAsia="zh-CN"/>
              </w:rPr>
              <w:t>人。</w:t>
            </w:r>
          </w:p>
          <w:p>
            <w:pPr>
              <w:widowControl w:val="0"/>
              <w:spacing w:after="0" w:line="560" w:lineRule="exact"/>
              <w:ind w:firstLine="480" w:firstLineChars="200"/>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eastAsia="zh-CN"/>
              </w:rPr>
              <w:t>山东南山铝业股份有限公司</w:t>
            </w:r>
            <w:r>
              <w:rPr>
                <w:rFonts w:hint="default" w:ascii="Times New Roman" w:hAnsi="Times New Roman" w:eastAsia="宋体" w:cs="Times New Roman"/>
                <w:color w:val="auto"/>
                <w:sz w:val="24"/>
                <w:szCs w:val="24"/>
                <w:highlight w:val="none"/>
              </w:rPr>
              <w:t>委托</w:t>
            </w:r>
            <w:r>
              <w:rPr>
                <w:rFonts w:hint="eastAsia" w:ascii="Times New Roman" w:hAnsi="Times New Roman" w:eastAsia="宋体" w:cs="Times New Roman"/>
                <w:color w:val="auto"/>
                <w:sz w:val="24"/>
                <w:szCs w:val="24"/>
                <w:highlight w:val="none"/>
                <w:lang w:eastAsia="zh-CN"/>
              </w:rPr>
              <w:t>烟台嘉隆技术咨询有限公司</w:t>
            </w:r>
            <w:r>
              <w:rPr>
                <w:rFonts w:hint="default" w:ascii="Times New Roman" w:hAnsi="Times New Roman" w:eastAsia="宋体" w:cs="Times New Roman"/>
                <w:color w:val="auto"/>
                <w:sz w:val="24"/>
                <w:szCs w:val="24"/>
                <w:highlight w:val="none"/>
              </w:rPr>
              <w:t>编制了</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山东南山铝业股份有限公司木托盘、包装木箱生产线建设项目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建设项目环境影响报告表；并于</w:t>
            </w:r>
            <w:r>
              <w:rPr>
                <w:rFonts w:hint="eastAsia" w:ascii="Times New Roman" w:hAnsi="Times New Roman" w:eastAsia="宋体"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月</w:t>
            </w:r>
            <w:r>
              <w:rPr>
                <w:rFonts w:hint="eastAsia"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lang w:eastAsia="zh-CN"/>
              </w:rPr>
              <w:t>日</w:t>
            </w:r>
            <w:r>
              <w:rPr>
                <w:rFonts w:hint="default" w:ascii="Times New Roman" w:hAnsi="Times New Roman" w:eastAsia="宋体" w:cs="Times New Roman"/>
                <w:color w:val="auto"/>
                <w:sz w:val="24"/>
                <w:szCs w:val="24"/>
                <w:highlight w:val="none"/>
              </w:rPr>
              <w:t>取得</w:t>
            </w:r>
            <w:r>
              <w:rPr>
                <w:rFonts w:hint="default" w:ascii="Times New Roman" w:hAnsi="Times New Roman" w:eastAsia="宋体" w:cs="Times New Roman"/>
                <w:color w:val="auto"/>
                <w:sz w:val="24"/>
                <w:szCs w:val="24"/>
                <w:highlight w:val="none"/>
                <w:lang w:eastAsia="zh-CN"/>
              </w:rPr>
              <w:t>烟台市生态环境局龙口分局</w:t>
            </w:r>
            <w:r>
              <w:rPr>
                <w:rFonts w:hint="default" w:ascii="Times New Roman" w:hAnsi="Times New Roman" w:eastAsia="宋体" w:cs="Times New Roman"/>
                <w:color w:val="auto"/>
                <w:sz w:val="24"/>
                <w:szCs w:val="24"/>
                <w:highlight w:val="none"/>
              </w:rPr>
              <w:t>出具的审批意见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龙环报告表</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49</w:t>
            </w:r>
            <w:r>
              <w:rPr>
                <w:rFonts w:hint="default" w:ascii="Times New Roman" w:hAnsi="Times New Roman" w:eastAsia="宋体" w:cs="Times New Roman"/>
                <w:color w:val="auto"/>
                <w:sz w:val="24"/>
                <w:szCs w:val="24"/>
                <w:highlight w:val="none"/>
                <w:lang w:val="en-US" w:eastAsia="zh-CN"/>
              </w:rPr>
              <w:t>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widowControl w:val="0"/>
              <w:spacing w:after="0" w:line="5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烟台嘉隆技术咨询有限公司</w:t>
            </w:r>
            <w:r>
              <w:rPr>
                <w:rFonts w:hint="default" w:ascii="Times New Roman" w:hAnsi="Times New Roman" w:eastAsia="宋体" w:cs="Times New Roman"/>
                <w:color w:val="auto"/>
                <w:sz w:val="24"/>
                <w:szCs w:val="24"/>
                <w:highlight w:val="none"/>
              </w:rPr>
              <w:t>委托</w:t>
            </w:r>
            <w:r>
              <w:rPr>
                <w:rFonts w:hint="eastAsia" w:ascii="Times New Roman" w:hAnsi="Times New Roman" w:eastAsia="宋体" w:cs="Times New Roman"/>
                <w:color w:val="auto"/>
                <w:sz w:val="24"/>
                <w:szCs w:val="24"/>
                <w:highlight w:val="none"/>
                <w:lang w:eastAsia="zh-CN"/>
              </w:rPr>
              <w:t>山东鼎立环境检测有限公司</w:t>
            </w:r>
            <w:r>
              <w:rPr>
                <w:rFonts w:hint="default" w:ascii="Times New Roman" w:hAnsi="Times New Roman" w:eastAsia="宋体" w:cs="Times New Roman"/>
                <w:color w:val="auto"/>
                <w:sz w:val="24"/>
                <w:szCs w:val="24"/>
                <w:highlight w:val="none"/>
              </w:rPr>
              <w:t>于</w:t>
            </w:r>
            <w:r>
              <w:rPr>
                <w:rFonts w:hint="default" w:ascii="Times New Roman" w:hAnsi="Times New Roman" w:eastAsia="宋体" w:cs="Times New Roman"/>
                <w:color w:val="auto"/>
                <w:sz w:val="24"/>
                <w:szCs w:val="24"/>
                <w:highlight w:val="none"/>
                <w:lang w:eastAsia="zh-CN"/>
              </w:rPr>
              <w:t>2022年</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eastAsia="zh-CN"/>
              </w:rPr>
              <w:t>月</w:t>
            </w:r>
            <w:r>
              <w:rPr>
                <w:rFonts w:hint="eastAsia"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lang w:eastAsia="zh-CN"/>
              </w:rPr>
              <w:t>日-</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eastAsia="zh-CN"/>
              </w:rPr>
              <w:t>日</w:t>
            </w:r>
            <w:r>
              <w:rPr>
                <w:rFonts w:hint="default" w:ascii="Times New Roman" w:hAnsi="Times New Roman" w:eastAsia="宋体" w:cs="Times New Roman"/>
                <w:color w:val="auto"/>
                <w:sz w:val="24"/>
                <w:szCs w:val="24"/>
                <w:highlight w:val="none"/>
              </w:rPr>
              <w:t>对项目进行了现场监测。根据现场勘查、环境管理检查和现场监测结果，</w:t>
            </w:r>
            <w:r>
              <w:rPr>
                <w:rFonts w:hint="default" w:ascii="Times New Roman" w:hAnsi="Times New Roman" w:eastAsia="宋体" w:cs="Times New Roman"/>
                <w:color w:val="auto"/>
                <w:sz w:val="24"/>
                <w:szCs w:val="24"/>
                <w:highlight w:val="none"/>
                <w:lang w:val="en-US" w:eastAsia="zh-CN"/>
              </w:rPr>
              <w:t>烟台嘉隆技术</w:t>
            </w:r>
            <w:r>
              <w:rPr>
                <w:rFonts w:hint="default" w:ascii="Times New Roman" w:hAnsi="Times New Roman" w:eastAsia="宋体" w:cs="Times New Roman"/>
                <w:color w:val="auto"/>
                <w:sz w:val="24"/>
                <w:szCs w:val="24"/>
                <w:highlight w:val="none"/>
                <w:lang w:val="en-US" w:eastAsia="zh-CN"/>
              </w:rPr>
              <w:t>咨询有限公司</w:t>
            </w:r>
            <w:r>
              <w:rPr>
                <w:rFonts w:hint="default" w:ascii="Times New Roman" w:hAnsi="Times New Roman" w:eastAsia="宋体" w:cs="Times New Roman"/>
                <w:color w:val="auto"/>
                <w:sz w:val="24"/>
                <w:szCs w:val="24"/>
                <w:highlight w:val="none"/>
              </w:rPr>
              <w:t>编制了建设项目竣工环境保护验收监测报告表。</w:t>
            </w:r>
          </w:p>
          <w:p>
            <w:pPr>
              <w:widowControl w:val="0"/>
              <w:snapToGrid/>
              <w:spacing w:after="0" w:line="560" w:lineRule="exact"/>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8.2环保设施建设情况</w:t>
            </w:r>
          </w:p>
          <w:p>
            <w:pPr>
              <w:widowControl w:val="0"/>
              <w:spacing w:after="0" w:line="5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3.1.1废气</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本项目</w:t>
            </w:r>
            <w:r>
              <w:rPr>
                <w:rFonts w:hint="default" w:ascii="Times New Roman" w:hAnsi="Times New Roman" w:eastAsia="宋体" w:cs="Times New Roman"/>
                <w:color w:val="auto"/>
                <w:sz w:val="24"/>
                <w:highlight w:val="none"/>
                <w:lang w:val="en-US" w:eastAsia="zh-CN"/>
              </w:rPr>
              <w:t>带锯车间锯切下料等</w:t>
            </w:r>
            <w:r>
              <w:rPr>
                <w:rFonts w:hint="default" w:ascii="Times New Roman" w:hAnsi="Times New Roman" w:eastAsia="宋体" w:cs="Times New Roman"/>
                <w:color w:val="auto"/>
                <w:sz w:val="24"/>
                <w:highlight w:val="none"/>
                <w:lang w:eastAsia="zh-CN"/>
              </w:rPr>
              <w:t>过程中会产生颗粒物。企业在带锯上方设置集气罩，收集的废气经过布袋式除尘器处理后通过15m高排气筒DA001排放；</w:t>
            </w:r>
            <w:r>
              <w:rPr>
                <w:rFonts w:hint="default" w:ascii="Times New Roman" w:hAnsi="Times New Roman" w:eastAsia="宋体" w:cs="Times New Roman"/>
                <w:color w:val="auto"/>
                <w:sz w:val="24"/>
                <w:highlight w:val="none"/>
                <w:lang w:val="en-US" w:eastAsia="zh-CN"/>
              </w:rPr>
              <w:t>制作车间锯切、刨光、钻铣、开孔等</w:t>
            </w:r>
            <w:r>
              <w:rPr>
                <w:rFonts w:hint="default" w:ascii="Times New Roman" w:hAnsi="Times New Roman" w:eastAsia="宋体" w:cs="Times New Roman"/>
                <w:color w:val="auto"/>
                <w:sz w:val="24"/>
                <w:highlight w:val="none"/>
                <w:lang w:eastAsia="zh-CN"/>
              </w:rPr>
              <w:t>过程中会产生颗粒物。企业在推台锯等上方设置集气罩，收集的废气经过布袋式除尘器处理后通过15m高排气筒DA00</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排放。</w:t>
            </w:r>
          </w:p>
          <w:p>
            <w:pPr>
              <w:pStyle w:val="11"/>
              <w:keepNext w:val="0"/>
              <w:keepLines w:val="0"/>
              <w:pageBreakBefore w:val="0"/>
              <w:widowControl w:val="0"/>
              <w:kinsoku/>
              <w:wordWrap/>
              <w:overflowPunct/>
              <w:topLinePunct w:val="0"/>
              <w:autoSpaceDE/>
              <w:autoSpaceDN/>
              <w:bidi w:val="0"/>
              <w:adjustRightInd w:val="0"/>
              <w:snapToGrid w:val="0"/>
              <w:spacing w:after="0" w:line="520" w:lineRule="exact"/>
              <w:jc w:val="both"/>
              <w:textAlignment w:val="auto"/>
              <w:outlineLv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3.1.2废水</w:t>
            </w:r>
          </w:p>
          <w:p>
            <w:pPr>
              <w:keepNext w:val="0"/>
              <w:keepLines w:val="0"/>
              <w:pageBreakBefore w:val="0"/>
              <w:widowControl w:val="0"/>
              <w:kinsoku/>
              <w:wordWrap/>
              <w:overflowPunct/>
              <w:topLinePunct w:val="0"/>
              <w:autoSpaceDE/>
              <w:autoSpaceDN/>
              <w:bidi w:val="0"/>
              <w:snapToGrid w:val="0"/>
              <w:spacing w:after="0" w:line="56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本项目无生产废水产生，生活污水满足《污水排入城镇下水道水质标准》（GB/T31962-2015）表1中 B等级标准的要求，经市政污水管网，排入世纪花园污水处理厂处理后最终排入泳汶河污水处理厂。</w:t>
            </w:r>
          </w:p>
          <w:p>
            <w:pPr>
              <w:keepNext w:val="0"/>
              <w:keepLines w:val="0"/>
              <w:pageBreakBefore w:val="0"/>
              <w:widowControl w:val="0"/>
              <w:kinsoku/>
              <w:wordWrap/>
              <w:overflowPunct/>
              <w:topLinePunct w:val="0"/>
              <w:autoSpaceDE/>
              <w:autoSpaceDN/>
              <w:bidi w:val="0"/>
              <w:snapToGrid w:val="0"/>
              <w:spacing w:after="0" w:line="560" w:lineRule="exact"/>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3.1.3噪声</w:t>
            </w:r>
          </w:p>
          <w:p>
            <w:pPr>
              <w:widowControl w:val="0"/>
              <w:spacing w:after="0" w:line="56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项目噪声主要为</w:t>
            </w:r>
            <w:r>
              <w:rPr>
                <w:rFonts w:hint="eastAsia" w:ascii="Times New Roman" w:hAnsi="Times New Roman" w:eastAsia="宋体" w:cs="Times New Roman"/>
                <w:color w:val="auto"/>
                <w:sz w:val="24"/>
                <w:szCs w:val="24"/>
                <w:highlight w:val="none"/>
                <w:lang w:val="en-US" w:eastAsia="zh-CN"/>
              </w:rPr>
              <w:t>纵锯机、带锯机、轮机、拉锯、刨床、镂铣机、多轴钻</w:t>
            </w:r>
            <w:r>
              <w:rPr>
                <w:rFonts w:hint="default" w:ascii="Times New Roman" w:hAnsi="Times New Roman" w:eastAsia="宋体" w:cs="Times New Roman"/>
                <w:color w:val="auto"/>
                <w:sz w:val="24"/>
                <w:szCs w:val="24"/>
                <w:highlight w:val="none"/>
              </w:rPr>
              <w:t>等机械设备运转时产生的噪声。</w:t>
            </w:r>
          </w:p>
          <w:p>
            <w:pPr>
              <w:widowControl w:val="0"/>
              <w:spacing w:after="0" w:line="5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.1.4固体废物</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本项目在生产过程中产生的固废主要是生活垃圾、</w:t>
            </w:r>
            <w:r>
              <w:rPr>
                <w:rFonts w:hint="default" w:ascii="Times New Roman" w:hAnsi="Times New Roman" w:eastAsia="宋体" w:cs="Times New Roman"/>
                <w:color w:val="auto"/>
                <w:sz w:val="24"/>
                <w:szCs w:val="24"/>
                <w:highlight w:val="none"/>
                <w:lang w:eastAsia="zh-CN"/>
              </w:rPr>
              <w:t>一般工业固废</w:t>
            </w:r>
            <w:r>
              <w:rPr>
                <w:rFonts w:hint="eastAsia" w:ascii="Times New Roman" w:hAnsi="Times New Roman" w:eastAsia="宋体" w:cs="Times New Roman"/>
                <w:color w:val="auto"/>
                <w:sz w:val="24"/>
                <w:szCs w:val="24"/>
                <w:highlight w:val="none"/>
                <w:lang w:val="en-US" w:eastAsia="zh-CN"/>
              </w:rPr>
              <w:t>和危险废物</w:t>
            </w:r>
            <w:r>
              <w:rPr>
                <w:rFonts w:hint="default" w:ascii="Times New Roman" w:hAnsi="Times New Roman" w:eastAsia="宋体"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（1）生活垃圾</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生活垃圾以垃圾箱收集为主，垃圾箱密封无渗漏，实行分类收集，由环卫部门统一按时清运。</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eastAsia="zh-CN"/>
              </w:rPr>
              <w:t>一般工业固废</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本项目一般固废为布袋除尘器收尘</w:t>
            </w:r>
            <w:r>
              <w:rPr>
                <w:rFonts w:hint="default" w:ascii="Times New Roman" w:hAnsi="Times New Roman" w:eastAsia="宋体" w:cs="Times New Roman"/>
                <w:color w:val="auto"/>
                <w:sz w:val="24"/>
                <w:highlight w:val="none"/>
                <w:lang w:eastAsia="zh-CN"/>
              </w:rPr>
              <w:t>、木屑、边角料、废钉</w:t>
            </w:r>
            <w:r>
              <w:rPr>
                <w:rFonts w:hint="eastAsia" w:ascii="Times New Roman" w:hAnsi="Times New Roman" w:eastAsia="宋体" w:cs="Times New Roman"/>
                <w:color w:val="auto"/>
                <w:sz w:val="24"/>
                <w:highlight w:val="none"/>
                <w:lang w:eastAsia="zh-CN"/>
              </w:rPr>
              <w:t>，收集后外售至物资回收部门综合利用。</w:t>
            </w:r>
            <w:r>
              <w:rPr>
                <w:rFonts w:hint="default" w:ascii="Times New Roman" w:hAnsi="Times New Roman" w:eastAsia="宋体" w:cs="Times New Roman"/>
                <w:bCs/>
                <w:color w:val="auto"/>
                <w:sz w:val="24"/>
                <w:highlight w:val="none"/>
              </w:rPr>
              <w:br w:type="textWrapping"/>
            </w:r>
            <w:r>
              <w:rPr>
                <w:rFonts w:hint="eastAsia" w:ascii="Times New Roman" w:hAnsi="Times New Roman" w:eastAsia="宋体" w:cs="Times New Roman"/>
                <w:bCs/>
                <w:color w:val="auto"/>
                <w:sz w:val="24"/>
                <w:highlight w:val="none"/>
                <w:lang w:val="en-US" w:eastAsia="zh-CN"/>
              </w:rPr>
              <w:t xml:space="preserve">    </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危险废物</w:t>
            </w:r>
          </w:p>
          <w:p>
            <w:pPr>
              <w:keepNext w:val="0"/>
              <w:keepLines w:val="0"/>
              <w:pageBreakBefore w:val="0"/>
              <w:widowControl w:val="0"/>
              <w:kinsoku/>
              <w:wordWrap/>
              <w:overflowPunct/>
              <w:topLinePunct w:val="0"/>
              <w:autoSpaceDE/>
              <w:autoSpaceDN/>
              <w:bidi w:val="0"/>
              <w:adjustRightInd w:val="0"/>
              <w:snapToGrid w:val="0"/>
              <w:spacing w:after="0" w:line="520" w:lineRule="exact"/>
              <w:ind w:firstLine="480" w:firstLineChars="200"/>
              <w:jc w:val="both"/>
              <w:textAlignment w:val="auto"/>
              <w:rPr>
                <w:rFonts w:hint="default" w:ascii="Times New Roman" w:hAnsi="Times New Roman" w:eastAsia="宋体" w:cs="Times New Roman"/>
                <w:color w:val="0000FF"/>
                <w:sz w:val="24"/>
                <w:szCs w:val="24"/>
                <w:highlight w:val="none"/>
                <w:lang w:val="en-US" w:eastAsia="zh-CN"/>
              </w:rPr>
            </w:pPr>
            <w:r>
              <w:rPr>
                <w:rFonts w:hint="default" w:ascii="Times New Roman" w:hAnsi="Times New Roman" w:eastAsia="宋体" w:cs="Times New Roman"/>
                <w:color w:val="auto"/>
                <w:sz w:val="24"/>
                <w:highlight w:val="none"/>
                <w:lang w:val="en-US" w:eastAsia="zh-CN"/>
              </w:rPr>
              <w:t>本项目试运行阶段暂时未产生废润滑油，若今后运行过程产生</w:t>
            </w:r>
            <w:r>
              <w:rPr>
                <w:rFonts w:hint="eastAsia" w:ascii="Times New Roman" w:hAnsi="Times New Roman" w:eastAsia="宋体" w:cs="Times New Roman"/>
                <w:color w:val="auto"/>
                <w:sz w:val="24"/>
                <w:highlight w:val="none"/>
                <w:lang w:val="en-US" w:eastAsia="zh-CN"/>
              </w:rPr>
              <w:t>，全部</w:t>
            </w:r>
            <w:r>
              <w:rPr>
                <w:rFonts w:hint="default" w:ascii="Times New Roman" w:hAnsi="Times New Roman" w:eastAsia="宋体" w:cs="Times New Roman"/>
                <w:color w:val="auto"/>
                <w:sz w:val="24"/>
                <w:highlight w:val="none"/>
              </w:rPr>
              <w:t>收集后委托有资质的单位处置。</w:t>
            </w:r>
          </w:p>
          <w:p>
            <w:pPr>
              <w:keepNext w:val="0"/>
              <w:keepLines w:val="0"/>
              <w:pageBreakBefore w:val="0"/>
              <w:widowControl w:val="0"/>
              <w:kinsoku/>
              <w:wordWrap/>
              <w:overflowPunct/>
              <w:topLinePunct w:val="0"/>
              <w:bidi w:val="0"/>
              <w:snapToGrid/>
              <w:spacing w:after="0" w:line="550" w:lineRule="exact"/>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8.3验收监测结果</w:t>
            </w:r>
          </w:p>
          <w:p>
            <w:pPr>
              <w:keepNext w:val="0"/>
              <w:keepLines w:val="0"/>
              <w:pageBreakBefore w:val="0"/>
              <w:widowControl w:val="0"/>
              <w:kinsoku/>
              <w:wordWrap/>
              <w:overflowPunct/>
              <w:topLinePunct w:val="0"/>
              <w:bidi w:val="0"/>
              <w:snapToGrid/>
              <w:spacing w:after="0" w:line="55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（1）废气</w:t>
            </w:r>
          </w:p>
          <w:p>
            <w:pPr>
              <w:widowControl/>
              <w:spacing w:after="0" w:line="560" w:lineRule="exact"/>
              <w:ind w:firstLine="480" w:firstLineChars="200"/>
              <w:jc w:val="both"/>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eastAsiaTheme="minorEastAsia"/>
                <w:color w:val="auto"/>
                <w:sz w:val="24"/>
                <w:szCs w:val="24"/>
                <w:highlight w:val="none"/>
              </w:rPr>
              <w:t>根据检测结果可知，</w:t>
            </w:r>
            <w:r>
              <w:rPr>
                <w:rFonts w:hint="default" w:ascii="Times New Roman" w:hAnsi="Times New Roman" w:cs="Times New Roman" w:eastAsiaTheme="minorEastAsia"/>
                <w:sz w:val="24"/>
                <w:szCs w:val="24"/>
                <w:highlight w:val="none"/>
              </w:rPr>
              <w:t>验收监</w:t>
            </w:r>
            <w:r>
              <w:rPr>
                <w:rFonts w:hint="default" w:ascii="Times New Roman" w:hAnsi="Times New Roman" w:cs="Times New Roman" w:eastAsiaTheme="minorEastAsia"/>
                <w:color w:val="auto"/>
                <w:sz w:val="24"/>
                <w:szCs w:val="24"/>
                <w:highlight w:val="none"/>
              </w:rPr>
              <w:t>测期间</w:t>
            </w:r>
            <w:r>
              <w:rPr>
                <w:rFonts w:hint="default" w:ascii="Times New Roman" w:hAnsi="Times New Roman" w:cs="Times New Roman" w:eastAsiaTheme="minorEastAsia"/>
                <w:color w:val="auto"/>
                <w:sz w:val="24"/>
                <w:szCs w:val="24"/>
                <w:highlight w:val="none"/>
                <w:lang w:val="en-US" w:eastAsia="zh-CN"/>
              </w:rPr>
              <w:t>废气排气筒P1环保设备出口</w:t>
            </w:r>
            <w:r>
              <w:rPr>
                <w:rFonts w:hint="default" w:ascii="Times New Roman" w:hAnsi="Times New Roman" w:cs="Times New Roman" w:eastAsiaTheme="minorEastAsia"/>
                <w:sz w:val="24"/>
                <w:szCs w:val="24"/>
                <w:highlight w:val="none"/>
              </w:rPr>
              <w:t>有组织废气</w:t>
            </w:r>
            <w:r>
              <w:rPr>
                <w:rFonts w:hint="eastAsia" w:ascii="Times New Roman" w:hAnsi="Times New Roman" w:cs="Times New Roman" w:eastAsiaTheme="minorEastAsia"/>
                <w:sz w:val="24"/>
                <w:szCs w:val="24"/>
                <w:highlight w:val="none"/>
                <w:lang w:eastAsia="zh-CN"/>
              </w:rPr>
              <w:t>颗粒物</w:t>
            </w:r>
            <w:r>
              <w:rPr>
                <w:rFonts w:hint="default" w:ascii="Times New Roman" w:hAnsi="Times New Roman" w:cs="Times New Roman" w:eastAsiaTheme="minorEastAsia"/>
                <w:sz w:val="24"/>
                <w:szCs w:val="24"/>
                <w:highlight w:val="none"/>
              </w:rPr>
              <w:t>最大排放浓度为</w:t>
            </w:r>
            <w:r>
              <w:rPr>
                <w:rFonts w:hint="eastAsia" w:ascii="Times New Roman" w:hAnsi="Times New Roman" w:cs="Times New Roman" w:eastAsiaTheme="minorEastAsia"/>
                <w:color w:val="auto"/>
                <w:sz w:val="24"/>
                <w:szCs w:val="24"/>
                <w:highlight w:val="none"/>
                <w:lang w:val="en-US" w:eastAsia="zh-CN"/>
              </w:rPr>
              <w:t>1.8</w:t>
            </w:r>
            <w:r>
              <w:rPr>
                <w:rFonts w:hint="default" w:ascii="Times New Roman" w:hAnsi="Times New Roman" w:cs="Times New Roman" w:eastAsiaTheme="minorEastAsia"/>
                <w:color w:val="auto"/>
                <w:sz w:val="24"/>
                <w:szCs w:val="24"/>
                <w:highlight w:val="none"/>
                <w:lang w:val="en-US" w:eastAsia="zh-CN"/>
              </w:rPr>
              <w:t>mg/m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lang w:val="en-US" w:eastAsia="zh-CN"/>
              </w:rPr>
              <w:t>，最大排放速率为</w:t>
            </w:r>
            <w:r>
              <w:rPr>
                <w:rFonts w:hint="eastAsia" w:ascii="Times New Roman" w:hAnsi="Times New Roman" w:cs="Times New Roman" w:eastAsiaTheme="minorEastAsia"/>
                <w:color w:val="auto"/>
                <w:sz w:val="24"/>
                <w:szCs w:val="24"/>
                <w:highlight w:val="none"/>
                <w:lang w:val="en-US" w:eastAsia="zh-CN"/>
              </w:rPr>
              <w:t>0.0228</w:t>
            </w:r>
            <w:r>
              <w:rPr>
                <w:rFonts w:hint="default" w:ascii="Times New Roman" w:hAnsi="Times New Roman" w:cs="Times New Roman" w:eastAsiaTheme="minorEastAsia"/>
                <w:color w:val="auto"/>
                <w:sz w:val="24"/>
                <w:szCs w:val="24"/>
                <w:highlight w:val="none"/>
                <w:lang w:val="en-US" w:eastAsia="zh-CN"/>
              </w:rPr>
              <w:t>kg/h，</w:t>
            </w:r>
            <w:r>
              <w:rPr>
                <w:rFonts w:hint="eastAsia" w:ascii="Times New Roman" w:hAnsi="Times New Roman" w:cs="Times New Roman" w:eastAsiaTheme="minorEastAsia"/>
                <w:color w:val="auto"/>
                <w:sz w:val="24"/>
                <w:szCs w:val="24"/>
                <w:highlight w:val="none"/>
                <w:lang w:val="en-US" w:eastAsia="zh-CN"/>
              </w:rPr>
              <w:t>颗粒物满足</w:t>
            </w:r>
            <w:r>
              <w:rPr>
                <w:rFonts w:hint="default" w:ascii="Times New Roman" w:hAnsi="Times New Roman" w:eastAsia="宋体" w:cs="Times New Roman"/>
                <w:color w:val="auto"/>
                <w:sz w:val="24"/>
                <w:highlight w:val="none"/>
                <w:lang w:val="en-US" w:eastAsia="zh-CN"/>
              </w:rPr>
              <w:t>《区域性大气污染物综合排放标准》（DB37/2376-2019）表1重点控制区排放浓度限值（颗粒物：10mg/m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），排放速率</w:t>
            </w:r>
            <w:r>
              <w:rPr>
                <w:rFonts w:hint="eastAsia"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lang w:val="en-US" w:eastAsia="zh-CN"/>
              </w:rPr>
              <w:t>《大气污染物综合排放标准》（GB16297-1996）表2排放速率限值（15m，3.5kg/h）</w:t>
            </w:r>
            <w:r>
              <w:rPr>
                <w:rFonts w:hint="default" w:ascii="Times New Roman" w:hAnsi="Times New Roman" w:cs="Times New Roman" w:eastAsiaTheme="minorEastAsia"/>
                <w:sz w:val="24"/>
                <w:szCs w:val="24"/>
                <w:highlight w:val="none"/>
                <w:lang w:eastAsia="zh-CN"/>
              </w:rPr>
              <w:t>。</w:t>
            </w:r>
            <w:r>
              <w:rPr>
                <w:rFonts w:hint="default" w:ascii="Times New Roman" w:hAnsi="Times New Roman" w:eastAsia="宋体" w:cs="Times New Roman"/>
                <w:color w:val="auto"/>
                <w:sz w:val="24"/>
                <w:highlight w:val="none"/>
              </w:rPr>
              <w:t>项目年工作</w:t>
            </w:r>
            <w:r>
              <w:rPr>
                <w:rFonts w:hint="eastAsia" w:ascii="Times New Roman" w:hAnsi="Times New Roman" w:eastAsia="宋体" w:cs="Times New Roman"/>
                <w:color w:val="auto"/>
                <w:sz w:val="24"/>
                <w:highlight w:val="none"/>
                <w:lang w:val="en-US" w:eastAsia="zh-CN"/>
              </w:rPr>
              <w:t>2400</w:t>
            </w:r>
            <w:r>
              <w:rPr>
                <w:rFonts w:hint="default" w:ascii="Times New Roman" w:hAnsi="Times New Roman" w:eastAsia="宋体" w:cs="Times New Roman"/>
                <w:color w:val="auto"/>
                <w:sz w:val="24"/>
                <w:highlight w:val="none"/>
                <w:lang w:val="en-US" w:eastAsia="zh-CN"/>
              </w:rPr>
              <w:t>h</w:t>
            </w:r>
            <w:r>
              <w:rPr>
                <w:rFonts w:hint="default" w:ascii="Times New Roman" w:hAnsi="Times New Roman" w:eastAsia="宋体" w:cs="Times New Roman"/>
                <w:color w:val="auto"/>
                <w:sz w:val="24"/>
                <w:highlight w:val="none"/>
              </w:rPr>
              <w:t>，则</w:t>
            </w:r>
            <w:r>
              <w:rPr>
                <w:rFonts w:hint="default" w:ascii="Times New Roman" w:hAnsi="Times New Roman" w:eastAsia="宋体" w:cs="Times New Roman"/>
                <w:color w:val="auto"/>
                <w:sz w:val="24"/>
                <w:highlight w:val="none"/>
                <w:lang w:val="en-US" w:eastAsia="zh-CN"/>
              </w:rPr>
              <w:t>废气排气筒P1</w:t>
            </w:r>
            <w:r>
              <w:rPr>
                <w:rFonts w:hint="default" w:ascii="Times New Roman" w:hAnsi="Times New Roman" w:eastAsia="宋体" w:cs="Times New Roman"/>
                <w:color w:val="auto"/>
                <w:sz w:val="24"/>
                <w:highlight w:val="none"/>
              </w:rPr>
              <w:t>有组织</w:t>
            </w:r>
            <w:r>
              <w:rPr>
                <w:rFonts w:hint="eastAsia" w:ascii="Times New Roman" w:hAnsi="Times New Roman" w:cs="Times New Roman" w:eastAsiaTheme="minorEastAsia"/>
                <w:sz w:val="24"/>
                <w:szCs w:val="24"/>
                <w:highlight w:val="none"/>
                <w:lang w:eastAsia="zh-CN"/>
              </w:rPr>
              <w:t>颗粒物</w:t>
            </w:r>
            <w:r>
              <w:rPr>
                <w:rFonts w:hint="default" w:ascii="Times New Roman" w:hAnsi="Times New Roman" w:eastAsia="宋体" w:cs="Times New Roman"/>
                <w:color w:val="auto"/>
                <w:sz w:val="24"/>
                <w:highlight w:val="none"/>
                <w:lang w:eastAsia="zh-CN"/>
              </w:rPr>
              <w:t>排放量</w:t>
            </w:r>
            <w:r>
              <w:rPr>
                <w:rFonts w:hint="eastAsia" w:ascii="Times New Roman" w:hAnsi="Times New Roman" w:eastAsia="宋体" w:cs="Times New Roman"/>
                <w:color w:val="auto"/>
                <w:sz w:val="24"/>
                <w:highlight w:val="none"/>
                <w:lang w:val="en-US" w:eastAsia="zh-CN"/>
              </w:rPr>
              <w:t>0.05</w:t>
            </w:r>
            <w:r>
              <w:rPr>
                <w:rFonts w:hint="default" w:ascii="Times New Roman" w:hAnsi="Times New Roman" w:eastAsia="宋体" w:cs="Times New Roman"/>
                <w:color w:val="auto"/>
                <w:sz w:val="24"/>
                <w:highlight w:val="none"/>
                <w:lang w:eastAsia="zh-CN"/>
              </w:rPr>
              <w:t>t/a</w:t>
            </w:r>
            <w:r>
              <w:rPr>
                <w:rFonts w:hint="default" w:ascii="Times New Roman" w:hAnsi="Times New Roman" w:eastAsia="宋体" w:cs="Times New Roman"/>
                <w:color w:val="auto"/>
                <w:sz w:val="24"/>
                <w:highlight w:val="none"/>
              </w:rPr>
              <w:t>。</w:t>
            </w:r>
          </w:p>
          <w:p>
            <w:pPr>
              <w:widowControl/>
              <w:spacing w:after="0" w:line="560" w:lineRule="exact"/>
              <w:ind w:firstLine="480" w:firstLineChars="200"/>
              <w:jc w:val="both"/>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eastAsiaTheme="minorEastAsia"/>
                <w:color w:val="auto"/>
                <w:sz w:val="24"/>
                <w:szCs w:val="24"/>
                <w:highlight w:val="none"/>
              </w:rPr>
              <w:t>根据检测结果可知，</w:t>
            </w:r>
            <w:r>
              <w:rPr>
                <w:rFonts w:hint="default" w:ascii="Times New Roman" w:hAnsi="Times New Roman" w:cs="Times New Roman" w:eastAsiaTheme="minorEastAsia"/>
                <w:sz w:val="24"/>
                <w:szCs w:val="24"/>
                <w:highlight w:val="none"/>
              </w:rPr>
              <w:t>验收监</w:t>
            </w:r>
            <w:r>
              <w:rPr>
                <w:rFonts w:hint="default" w:ascii="Times New Roman" w:hAnsi="Times New Roman" w:cs="Times New Roman" w:eastAsiaTheme="minorEastAsia"/>
                <w:color w:val="auto"/>
                <w:sz w:val="24"/>
                <w:szCs w:val="24"/>
                <w:highlight w:val="none"/>
              </w:rPr>
              <w:t>测期间</w:t>
            </w:r>
            <w:r>
              <w:rPr>
                <w:rFonts w:hint="default" w:ascii="Times New Roman" w:hAnsi="Times New Roman" w:cs="Times New Roman" w:eastAsiaTheme="minorEastAsia"/>
                <w:color w:val="auto"/>
                <w:sz w:val="24"/>
                <w:szCs w:val="24"/>
                <w:highlight w:val="none"/>
                <w:lang w:val="en-US" w:eastAsia="zh-CN"/>
              </w:rPr>
              <w:t>废气排气筒P</w:t>
            </w:r>
            <w:r>
              <w:rPr>
                <w:rFonts w:hint="eastAsia" w:ascii="Times New Roman" w:hAnsi="Times New Roman" w:cs="Times New Roman" w:eastAsiaTheme="minorEastAsia"/>
                <w:color w:val="auto"/>
                <w:sz w:val="24"/>
                <w:szCs w:val="24"/>
                <w:highlight w:val="none"/>
                <w:lang w:val="en-US" w:eastAsia="zh-CN"/>
              </w:rPr>
              <w:t>2</w:t>
            </w:r>
            <w:r>
              <w:rPr>
                <w:rFonts w:hint="default" w:ascii="Times New Roman" w:hAnsi="Times New Roman" w:cs="Times New Roman" w:eastAsiaTheme="minorEastAsia"/>
                <w:color w:val="auto"/>
                <w:sz w:val="24"/>
                <w:szCs w:val="24"/>
                <w:highlight w:val="none"/>
                <w:lang w:val="en-US" w:eastAsia="zh-CN"/>
              </w:rPr>
              <w:t>环保设备出口</w:t>
            </w:r>
            <w:r>
              <w:rPr>
                <w:rFonts w:hint="default" w:ascii="Times New Roman" w:hAnsi="Times New Roman" w:cs="Times New Roman" w:eastAsiaTheme="minorEastAsia"/>
                <w:sz w:val="24"/>
                <w:szCs w:val="24"/>
                <w:highlight w:val="none"/>
              </w:rPr>
              <w:t>有组织废气</w:t>
            </w:r>
            <w:r>
              <w:rPr>
                <w:rFonts w:hint="eastAsia" w:ascii="Times New Roman" w:hAnsi="Times New Roman" w:cs="Times New Roman" w:eastAsiaTheme="minorEastAsia"/>
                <w:sz w:val="24"/>
                <w:szCs w:val="24"/>
                <w:highlight w:val="none"/>
                <w:lang w:eastAsia="zh-CN"/>
              </w:rPr>
              <w:t>颗粒物</w:t>
            </w:r>
            <w:r>
              <w:rPr>
                <w:rFonts w:hint="default" w:ascii="Times New Roman" w:hAnsi="Times New Roman" w:cs="Times New Roman" w:eastAsiaTheme="minorEastAsia"/>
                <w:sz w:val="24"/>
                <w:szCs w:val="24"/>
                <w:highlight w:val="none"/>
              </w:rPr>
              <w:t>最大排放浓度为</w:t>
            </w:r>
            <w:r>
              <w:rPr>
                <w:rFonts w:hint="eastAsia" w:ascii="Times New Roman" w:hAnsi="Times New Roman" w:cs="Times New Roman" w:eastAsiaTheme="minorEastAsia"/>
                <w:color w:val="auto"/>
                <w:sz w:val="24"/>
                <w:szCs w:val="24"/>
                <w:highlight w:val="none"/>
                <w:lang w:val="en-US" w:eastAsia="zh-CN"/>
              </w:rPr>
              <w:t>1.8</w:t>
            </w:r>
            <w:r>
              <w:rPr>
                <w:rFonts w:hint="default" w:ascii="Times New Roman" w:hAnsi="Times New Roman" w:cs="Times New Roman" w:eastAsiaTheme="minorEastAsia"/>
                <w:color w:val="auto"/>
                <w:sz w:val="24"/>
                <w:szCs w:val="24"/>
                <w:highlight w:val="none"/>
                <w:lang w:val="en-US" w:eastAsia="zh-CN"/>
              </w:rPr>
              <w:t>mg/m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lang w:val="en-US" w:eastAsia="zh-CN"/>
              </w:rPr>
              <w:t>，最大排放速率为</w:t>
            </w:r>
            <w:r>
              <w:rPr>
                <w:rFonts w:hint="eastAsia" w:ascii="Times New Roman" w:hAnsi="Times New Roman" w:cs="Times New Roman" w:eastAsiaTheme="minorEastAsia"/>
                <w:color w:val="auto"/>
                <w:sz w:val="24"/>
                <w:szCs w:val="24"/>
                <w:highlight w:val="none"/>
                <w:lang w:val="en-US" w:eastAsia="zh-CN"/>
              </w:rPr>
              <w:t>0.0427</w:t>
            </w:r>
            <w:r>
              <w:rPr>
                <w:rFonts w:hint="default" w:ascii="Times New Roman" w:hAnsi="Times New Roman" w:cs="Times New Roman" w:eastAsiaTheme="minorEastAsia"/>
                <w:color w:val="auto"/>
                <w:sz w:val="24"/>
                <w:szCs w:val="24"/>
                <w:highlight w:val="none"/>
                <w:lang w:val="en-US" w:eastAsia="zh-CN"/>
              </w:rPr>
              <w:t>kg/h，</w:t>
            </w:r>
            <w:r>
              <w:rPr>
                <w:rFonts w:hint="eastAsia" w:ascii="Times New Roman" w:hAnsi="Times New Roman" w:cs="Times New Roman" w:eastAsiaTheme="minorEastAsia"/>
                <w:color w:val="auto"/>
                <w:sz w:val="24"/>
                <w:szCs w:val="24"/>
                <w:highlight w:val="none"/>
                <w:lang w:val="en-US" w:eastAsia="zh-CN"/>
              </w:rPr>
              <w:t>颗粒物满足</w:t>
            </w:r>
            <w:r>
              <w:rPr>
                <w:rFonts w:hint="default" w:ascii="Times New Roman" w:hAnsi="Times New Roman" w:eastAsia="宋体" w:cs="Times New Roman"/>
                <w:color w:val="auto"/>
                <w:sz w:val="24"/>
                <w:highlight w:val="none"/>
                <w:lang w:val="en-US" w:eastAsia="zh-CN"/>
              </w:rPr>
              <w:t>《区域性大气污染物综合排放标准》（DB37/2376-2019）表1重点控制区排放浓度限值（颗粒物：10mg/m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），排放速率</w:t>
            </w:r>
            <w:r>
              <w:rPr>
                <w:rFonts w:hint="eastAsia"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lang w:val="en-US" w:eastAsia="zh-CN"/>
              </w:rPr>
              <w:t>《大气污染物综合排放标准》（GB16297-1996）表2排放速率限值（15m，3.5kg/h）</w:t>
            </w:r>
            <w:r>
              <w:rPr>
                <w:rFonts w:hint="default" w:ascii="Times New Roman" w:hAnsi="Times New Roman" w:cs="Times New Roman" w:eastAsiaTheme="minorEastAsia"/>
                <w:sz w:val="24"/>
                <w:szCs w:val="24"/>
                <w:highlight w:val="none"/>
                <w:lang w:eastAsia="zh-CN"/>
              </w:rPr>
              <w:t>。</w:t>
            </w:r>
            <w:r>
              <w:rPr>
                <w:rFonts w:hint="default" w:ascii="Times New Roman" w:hAnsi="Times New Roman" w:eastAsia="宋体" w:cs="Times New Roman"/>
                <w:color w:val="auto"/>
                <w:sz w:val="24"/>
                <w:highlight w:val="none"/>
              </w:rPr>
              <w:t>项目年工作</w:t>
            </w:r>
            <w:r>
              <w:rPr>
                <w:rFonts w:hint="eastAsia" w:ascii="Times New Roman" w:hAnsi="Times New Roman" w:eastAsia="宋体" w:cs="Times New Roman"/>
                <w:color w:val="auto"/>
                <w:sz w:val="24"/>
                <w:highlight w:val="none"/>
                <w:lang w:val="en-US" w:eastAsia="zh-CN"/>
              </w:rPr>
              <w:t>2400</w:t>
            </w:r>
            <w:r>
              <w:rPr>
                <w:rFonts w:hint="default" w:ascii="Times New Roman" w:hAnsi="Times New Roman" w:eastAsia="宋体" w:cs="Times New Roman"/>
                <w:color w:val="auto"/>
                <w:sz w:val="24"/>
                <w:highlight w:val="none"/>
                <w:lang w:val="en-US" w:eastAsia="zh-CN"/>
              </w:rPr>
              <w:t>h</w:t>
            </w:r>
            <w:r>
              <w:rPr>
                <w:rFonts w:hint="default" w:ascii="Times New Roman" w:hAnsi="Times New Roman" w:eastAsia="宋体" w:cs="Times New Roman"/>
                <w:color w:val="auto"/>
                <w:sz w:val="24"/>
                <w:highlight w:val="none"/>
              </w:rPr>
              <w:t>，则</w:t>
            </w:r>
            <w:r>
              <w:rPr>
                <w:rFonts w:hint="default" w:ascii="Times New Roman" w:hAnsi="Times New Roman" w:eastAsia="宋体" w:cs="Times New Roman"/>
                <w:color w:val="auto"/>
                <w:sz w:val="24"/>
                <w:highlight w:val="none"/>
                <w:lang w:val="en-US" w:eastAsia="zh-CN"/>
              </w:rPr>
              <w:t>废气排气筒P</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有组织</w:t>
            </w:r>
            <w:r>
              <w:rPr>
                <w:rFonts w:hint="eastAsia" w:ascii="Times New Roman" w:hAnsi="Times New Roman" w:cs="Times New Roman" w:eastAsiaTheme="minorEastAsia"/>
                <w:sz w:val="24"/>
                <w:szCs w:val="24"/>
                <w:highlight w:val="none"/>
                <w:lang w:eastAsia="zh-CN"/>
              </w:rPr>
              <w:t>颗粒物</w:t>
            </w:r>
            <w:r>
              <w:rPr>
                <w:rFonts w:hint="default" w:ascii="Times New Roman" w:hAnsi="Times New Roman" w:eastAsia="宋体" w:cs="Times New Roman"/>
                <w:color w:val="auto"/>
                <w:sz w:val="24"/>
                <w:highlight w:val="none"/>
                <w:lang w:eastAsia="zh-CN"/>
              </w:rPr>
              <w:t>排放量</w:t>
            </w:r>
            <w:r>
              <w:rPr>
                <w:rFonts w:hint="eastAsia" w:ascii="Times New Roman" w:hAnsi="Times New Roman" w:eastAsia="宋体" w:cs="Times New Roman"/>
                <w:color w:val="auto"/>
                <w:sz w:val="24"/>
                <w:highlight w:val="none"/>
                <w:lang w:val="en-US" w:eastAsia="zh-CN"/>
              </w:rPr>
              <w:t>0.1</w:t>
            </w:r>
            <w:r>
              <w:rPr>
                <w:rFonts w:hint="default" w:ascii="Times New Roman" w:hAnsi="Times New Roman" w:eastAsia="宋体" w:cs="Times New Roman"/>
                <w:color w:val="auto"/>
                <w:sz w:val="24"/>
                <w:highlight w:val="none"/>
                <w:lang w:eastAsia="zh-CN"/>
              </w:rPr>
              <w:t>t/a</w:t>
            </w:r>
            <w:r>
              <w:rPr>
                <w:rFonts w:hint="default" w:ascii="Times New Roman" w:hAnsi="Times New Roman" w:eastAsia="宋体" w:cs="Times New Roman"/>
                <w:color w:val="auto"/>
                <w:sz w:val="24"/>
                <w:highlight w:val="none"/>
              </w:rPr>
              <w:t>。</w:t>
            </w:r>
          </w:p>
          <w:p>
            <w:pPr>
              <w:widowControl/>
              <w:spacing w:after="0" w:line="56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根据检测结果可知，</w:t>
            </w:r>
            <w:r>
              <w:rPr>
                <w:rFonts w:hint="default" w:ascii="Times New Roman" w:hAnsi="Times New Roman" w:eastAsia="宋体" w:cs="Times New Roman"/>
                <w:sz w:val="24"/>
                <w:szCs w:val="24"/>
                <w:highlight w:val="none"/>
              </w:rPr>
              <w:t>验收监测期间厂界</w:t>
            </w:r>
            <w:r>
              <w:rPr>
                <w:rFonts w:hint="eastAsia" w:ascii="Times New Roman" w:hAnsi="Times New Roman" w:eastAsia="宋体" w:cs="Times New Roman"/>
                <w:sz w:val="24"/>
                <w:szCs w:val="24"/>
                <w:highlight w:val="none"/>
                <w:lang w:eastAsia="zh-CN"/>
              </w:rPr>
              <w:t>颗粒物</w:t>
            </w:r>
            <w:r>
              <w:rPr>
                <w:rFonts w:hint="default" w:ascii="Times New Roman" w:hAnsi="Times New Roman" w:eastAsia="宋体" w:cs="Times New Roman"/>
                <w:sz w:val="24"/>
                <w:szCs w:val="24"/>
                <w:highlight w:val="none"/>
              </w:rPr>
              <w:t>浓度最大值为</w:t>
            </w:r>
            <w:r>
              <w:rPr>
                <w:rFonts w:hint="eastAsia" w:ascii="Times New Roman" w:hAnsi="Times New Roman" w:eastAsia="宋体" w:cs="Times New Roman"/>
                <w:sz w:val="24"/>
                <w:szCs w:val="24"/>
                <w:highlight w:val="none"/>
                <w:lang w:val="en-US" w:eastAsia="zh-CN"/>
              </w:rPr>
              <w:t>0.482</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，满足</w:t>
            </w:r>
            <w:r>
              <w:rPr>
                <w:rFonts w:hint="default" w:ascii="Times New Roman" w:hAnsi="Times New Roman" w:cs="Times New Roman" w:eastAsiaTheme="minorEastAsia"/>
                <w:bCs/>
                <w:sz w:val="24"/>
                <w:szCs w:val="24"/>
                <w:highlight w:val="none"/>
                <w:lang w:val="en-US" w:eastAsia="zh-CN"/>
              </w:rPr>
              <w:t>《大气污染物综合排放标准》（GB16297-1996）表2中无组织排放浓度限值（1</w:t>
            </w:r>
            <w:r>
              <w:rPr>
                <w:rFonts w:hint="eastAsia" w:ascii="Times New Roman" w:hAnsi="Times New Roman" w:cs="Times New Roman" w:eastAsiaTheme="minorEastAsia"/>
                <w:bCs/>
                <w:sz w:val="24"/>
                <w:szCs w:val="24"/>
                <w:highlight w:val="none"/>
                <w:lang w:val="en-US" w:eastAsia="zh-CN"/>
              </w:rPr>
              <w:t>.0</w:t>
            </w:r>
            <w:r>
              <w:rPr>
                <w:rFonts w:hint="default" w:ascii="Times New Roman" w:hAnsi="Times New Roman" w:cs="Times New Roman" w:eastAsiaTheme="minorEastAsia"/>
                <w:bCs/>
                <w:sz w:val="24"/>
                <w:szCs w:val="24"/>
                <w:highlight w:val="none"/>
                <w:lang w:val="en-US" w:eastAsia="zh-CN"/>
              </w:rPr>
              <w:t>mg/m</w:t>
            </w:r>
            <w:r>
              <w:rPr>
                <w:rFonts w:hint="default" w:ascii="Times New Roman" w:hAnsi="Times New Roman" w:cs="Times New Roman" w:eastAsiaTheme="minorEastAsia"/>
                <w:bCs/>
                <w:sz w:val="24"/>
                <w:szCs w:val="24"/>
                <w:highlight w:val="none"/>
                <w:vertAlign w:val="superscript"/>
                <w:lang w:val="en-US" w:eastAsia="zh-CN"/>
              </w:rPr>
              <w:t>3</w:t>
            </w:r>
            <w:r>
              <w:rPr>
                <w:rFonts w:hint="default" w:ascii="Times New Roman" w:hAnsi="Times New Roman" w:cs="Times New Roman" w:eastAsiaTheme="minorEastAsia"/>
                <w:bCs/>
                <w:sz w:val="24"/>
                <w:szCs w:val="24"/>
                <w:highlight w:val="none"/>
                <w:lang w:val="en-US" w:eastAsia="zh-CN"/>
              </w:rPr>
              <w:t>）</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snapToGrid/>
              <w:spacing w:after="0" w:line="55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（2）噪声</w:t>
            </w:r>
          </w:p>
          <w:p>
            <w:pPr>
              <w:keepNext w:val="0"/>
              <w:keepLines w:val="0"/>
              <w:pageBreakBefore w:val="0"/>
              <w:widowControl w:val="0"/>
              <w:kinsoku/>
              <w:wordWrap/>
              <w:overflowPunct/>
              <w:topLinePunct w:val="0"/>
              <w:bidi w:val="0"/>
              <w:snapToGrid/>
              <w:spacing w:after="0" w:line="55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根据噪声检测结果可知，验收检测期间，</w:t>
            </w:r>
            <w:r>
              <w:rPr>
                <w:rFonts w:hint="default" w:ascii="Times New Roman" w:hAnsi="Times New Roman" w:eastAsia="宋体" w:cs="Times New Roman"/>
                <w:color w:val="auto"/>
                <w:sz w:val="24"/>
                <w:szCs w:val="24"/>
                <w:highlight w:val="none"/>
                <w:lang w:eastAsia="zh-CN"/>
              </w:rPr>
              <w:t>企业</w:t>
            </w:r>
            <w:r>
              <w:rPr>
                <w:rFonts w:hint="default" w:ascii="Times New Roman" w:hAnsi="Times New Roman" w:eastAsia="宋体" w:cs="Times New Roman"/>
                <w:color w:val="auto"/>
                <w:sz w:val="24"/>
                <w:szCs w:val="24"/>
                <w:highlight w:val="none"/>
              </w:rPr>
              <w:t>昼间噪声最大值为</w:t>
            </w:r>
            <w:r>
              <w:rPr>
                <w:rFonts w:hint="eastAsia" w:ascii="Times New Roman" w:hAnsi="Times New Roman" w:eastAsia="宋体" w:cs="Times New Roman"/>
                <w:color w:val="auto"/>
                <w:sz w:val="24"/>
                <w:szCs w:val="24"/>
                <w:highlight w:val="none"/>
                <w:lang w:val="en-US" w:eastAsia="zh-CN"/>
              </w:rPr>
              <w:t>55.5</w:t>
            </w:r>
            <w:r>
              <w:rPr>
                <w:rFonts w:hint="default" w:ascii="Times New Roman" w:hAnsi="Times New Roman" w:eastAsia="宋体" w:cs="Times New Roman"/>
                <w:color w:val="auto"/>
                <w:sz w:val="24"/>
                <w:szCs w:val="24"/>
                <w:highlight w:val="none"/>
              </w:rPr>
              <w:t>dB(A)，夜间</w:t>
            </w:r>
            <w:r>
              <w:rPr>
                <w:rFonts w:hint="default" w:ascii="Times New Roman" w:hAnsi="Times New Roman" w:eastAsia="宋体" w:cs="Times New Roman"/>
                <w:color w:val="auto"/>
                <w:sz w:val="24"/>
                <w:szCs w:val="24"/>
                <w:highlight w:val="none"/>
                <w:lang w:eastAsia="zh-CN"/>
              </w:rPr>
              <w:t>噪声最大值为</w:t>
            </w:r>
            <w:r>
              <w:rPr>
                <w:rFonts w:hint="eastAsia" w:ascii="Times New Roman" w:hAnsi="Times New Roman" w:eastAsia="宋体" w:cs="Times New Roman"/>
                <w:color w:val="auto"/>
                <w:sz w:val="24"/>
                <w:szCs w:val="24"/>
                <w:highlight w:val="none"/>
                <w:lang w:val="en-US" w:eastAsia="zh-CN"/>
              </w:rPr>
              <w:t>46.3</w:t>
            </w:r>
            <w:r>
              <w:rPr>
                <w:rFonts w:hint="default" w:ascii="Times New Roman" w:hAnsi="Times New Roman" w:eastAsia="宋体" w:cs="Times New Roman"/>
                <w:color w:val="auto"/>
                <w:sz w:val="24"/>
                <w:szCs w:val="24"/>
                <w:highlight w:val="none"/>
              </w:rPr>
              <w:t>dB(A)，满足《工业企业厂界环境噪声排放标准》（GB12348-2008）</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类标准要求（昼间</w:t>
            </w:r>
            <w:r>
              <w:rPr>
                <w:rFonts w:hint="eastAsia"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dB(A)，夜间</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dB(A)）。</w:t>
            </w:r>
          </w:p>
          <w:p>
            <w:pPr>
              <w:keepNext w:val="0"/>
              <w:keepLines w:val="0"/>
              <w:pageBreakBefore w:val="0"/>
              <w:widowControl w:val="0"/>
              <w:kinsoku/>
              <w:wordWrap/>
              <w:overflowPunct/>
              <w:topLinePunct w:val="0"/>
              <w:bidi w:val="0"/>
              <w:snapToGrid/>
              <w:spacing w:after="0" w:line="550" w:lineRule="exact"/>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）废水</w:t>
            </w:r>
          </w:p>
          <w:p>
            <w:pPr>
              <w:keepNext w:val="0"/>
              <w:keepLines w:val="0"/>
              <w:pageBreakBefore w:val="0"/>
              <w:widowControl w:val="0"/>
              <w:kinsoku/>
              <w:wordWrap/>
              <w:overflowPunct/>
              <w:topLinePunct w:val="0"/>
              <w:bidi w:val="0"/>
              <w:snapToGrid/>
              <w:spacing w:after="0" w:line="550" w:lineRule="exact"/>
              <w:ind w:firstLine="480" w:firstLineChars="200"/>
              <w:jc w:val="both"/>
              <w:textAlignment w:val="auto"/>
              <w:rPr>
                <w:rFonts w:ascii="Times New Roman" w:hAnsi="Times New Roman" w:cs="Times New Roman" w:eastAsiaTheme="minorEastAsia"/>
                <w:sz w:val="24"/>
                <w:szCs w:val="24"/>
                <w:highlight w:val="none"/>
              </w:rPr>
            </w:pPr>
            <w:r>
              <w:rPr>
                <w:rFonts w:hint="default" w:ascii="Times New Roman" w:hAnsi="Times New Roman" w:cs="Times New Roman" w:eastAsiaTheme="minorEastAsia"/>
                <w:color w:val="auto"/>
                <w:sz w:val="24"/>
                <w:szCs w:val="24"/>
                <w:highlight w:val="none"/>
              </w:rPr>
              <w:t>根据</w:t>
            </w:r>
            <w:r>
              <w:rPr>
                <w:rFonts w:hint="default" w:ascii="Times New Roman" w:hAnsi="Times New Roman" w:cs="Times New Roman" w:eastAsiaTheme="minorEastAsia"/>
                <w:color w:val="auto"/>
                <w:sz w:val="24"/>
                <w:szCs w:val="24"/>
                <w:highlight w:val="none"/>
                <w:lang w:eastAsia="zh-CN"/>
              </w:rPr>
              <w:t>废水</w:t>
            </w:r>
            <w:r>
              <w:rPr>
                <w:rFonts w:hint="default" w:ascii="Times New Roman" w:hAnsi="Times New Roman" w:cs="Times New Roman" w:eastAsiaTheme="minorEastAsia"/>
                <w:color w:val="auto"/>
                <w:sz w:val="24"/>
                <w:szCs w:val="24"/>
                <w:highlight w:val="none"/>
              </w:rPr>
              <w:t>检测结果可知，验收检测期间，废水中</w:t>
            </w:r>
            <w:r>
              <w:rPr>
                <w:rFonts w:hint="default" w:ascii="Times New Roman" w:hAnsi="Times New Roman" w:cs="Times New Roman" w:eastAsiaTheme="minorEastAsia"/>
                <w:color w:val="auto"/>
                <w:sz w:val="24"/>
                <w:szCs w:val="24"/>
                <w:highlight w:val="none"/>
                <w:lang w:val="en-US" w:eastAsia="zh-CN"/>
              </w:rPr>
              <w:t>pH 日最大范围值为 7.</w:t>
            </w:r>
            <w:r>
              <w:rPr>
                <w:rFonts w:hint="eastAsia" w:ascii="Times New Roman" w:hAnsi="Times New Roman"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lang w:val="en-US" w:eastAsia="zh-CN"/>
              </w:rPr>
              <w:t>-7.8</w:t>
            </w:r>
            <w:r>
              <w:rPr>
                <w:rFonts w:hint="eastAsia"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lang w:val="en-US" w:eastAsia="zh-CN"/>
              </w:rPr>
              <w:t>（无量纲）</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val="en-US" w:eastAsia="zh-CN"/>
              </w:rPr>
              <w:t>悬浮物</w:t>
            </w:r>
            <w:r>
              <w:rPr>
                <w:rFonts w:hint="default" w:ascii="Times New Roman" w:hAnsi="Times New Roman" w:cs="Times New Roman" w:eastAsiaTheme="minorEastAsia"/>
                <w:color w:val="auto"/>
                <w:sz w:val="24"/>
                <w:szCs w:val="24"/>
                <w:highlight w:val="none"/>
                <w:lang w:eastAsia="zh-CN"/>
              </w:rPr>
              <w:t>平均值为</w:t>
            </w:r>
            <w:r>
              <w:rPr>
                <w:rFonts w:hint="eastAsia" w:ascii="Times New Roman" w:hAnsi="Times New Roman" w:eastAsia="宋体" w:cs="Times New Roman"/>
                <w:b w:val="0"/>
                <w:bCs w:val="0"/>
                <w:color w:val="auto"/>
                <w:sz w:val="24"/>
                <w:szCs w:val="24"/>
                <w:highlight w:val="none"/>
                <w:lang w:val="en-US" w:eastAsia="zh-CN"/>
              </w:rPr>
              <w:t>12.6</w:t>
            </w:r>
            <w:r>
              <w:rPr>
                <w:rFonts w:hint="default" w:ascii="Times New Roman" w:hAnsi="Times New Roman" w:eastAsia="宋体" w:cs="Times New Roman"/>
                <w:b w:val="0"/>
                <w:bCs w:val="0"/>
                <w:color w:val="auto"/>
                <w:sz w:val="24"/>
                <w:szCs w:val="24"/>
                <w:highlight w:val="none"/>
                <w:lang w:val="en-US" w:eastAsia="zh-CN"/>
              </w:rPr>
              <w:t>mg/L、化学需氧量平均值为</w:t>
            </w:r>
            <w:r>
              <w:rPr>
                <w:rFonts w:hint="eastAsia" w:ascii="Times New Roman" w:hAnsi="Times New Roman" w:eastAsia="宋体" w:cs="Times New Roman"/>
                <w:b w:val="0"/>
                <w:bCs w:val="0"/>
                <w:color w:val="auto"/>
                <w:sz w:val="24"/>
                <w:szCs w:val="24"/>
                <w:highlight w:val="none"/>
                <w:lang w:val="en-US" w:eastAsia="zh-CN"/>
              </w:rPr>
              <w:t>130.8</w:t>
            </w:r>
            <w:r>
              <w:rPr>
                <w:rFonts w:hint="default" w:ascii="Times New Roman" w:hAnsi="Times New Roman" w:eastAsia="宋体" w:cs="Times New Roman"/>
                <w:b w:val="0"/>
                <w:bCs w:val="0"/>
                <w:color w:val="auto"/>
                <w:sz w:val="24"/>
                <w:szCs w:val="24"/>
                <w:highlight w:val="none"/>
                <w:lang w:val="en-US" w:eastAsia="zh-CN"/>
              </w:rPr>
              <w:t>mg/L、</w:t>
            </w:r>
            <w:r>
              <w:rPr>
                <w:rFonts w:hint="default" w:ascii="Times New Roman" w:hAnsi="Times New Roman" w:eastAsia="宋体" w:cs="Times New Roman"/>
                <w:b w:val="0"/>
                <w:bCs w:val="0"/>
                <w:color w:val="auto"/>
                <w:sz w:val="24"/>
                <w:szCs w:val="24"/>
                <w:highlight w:val="none"/>
                <w:lang w:eastAsia="zh-CN"/>
              </w:rPr>
              <w:t>氨氮</w:t>
            </w:r>
            <w:r>
              <w:rPr>
                <w:rFonts w:hint="default" w:ascii="Times New Roman" w:hAnsi="Times New Roman" w:eastAsia="宋体" w:cs="Times New Roman"/>
                <w:b w:val="0"/>
                <w:bCs w:val="0"/>
                <w:color w:val="auto"/>
                <w:sz w:val="24"/>
                <w:szCs w:val="24"/>
                <w:highlight w:val="none"/>
                <w:lang w:val="en-US" w:eastAsia="zh-CN"/>
              </w:rPr>
              <w:t>平均值为</w:t>
            </w:r>
            <w:r>
              <w:rPr>
                <w:rFonts w:hint="eastAsia" w:ascii="Times New Roman" w:hAnsi="Times New Roman" w:eastAsia="宋体" w:cs="Times New Roman"/>
                <w:b w:val="0"/>
                <w:bCs w:val="0"/>
                <w:color w:val="auto"/>
                <w:sz w:val="24"/>
                <w:szCs w:val="24"/>
                <w:highlight w:val="none"/>
                <w:lang w:val="en-US" w:eastAsia="zh-CN"/>
              </w:rPr>
              <w:t>0.44</w:t>
            </w:r>
            <w:r>
              <w:rPr>
                <w:rFonts w:hint="default" w:ascii="Times New Roman" w:hAnsi="Times New Roman" w:eastAsia="宋体" w:cs="Times New Roman"/>
                <w:b w:val="0"/>
                <w:bCs w:val="0"/>
                <w:color w:val="auto"/>
                <w:sz w:val="24"/>
                <w:szCs w:val="24"/>
                <w:highlight w:val="none"/>
                <w:lang w:val="en-US" w:eastAsia="zh-CN"/>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五日生化需氧量平均值为</w:t>
            </w:r>
            <w:r>
              <w:rPr>
                <w:rFonts w:hint="eastAsia" w:ascii="Times New Roman" w:hAnsi="Times New Roman" w:eastAsia="宋体" w:cs="Times New Roman"/>
                <w:b w:val="0"/>
                <w:bCs w:val="0"/>
                <w:color w:val="auto"/>
                <w:sz w:val="24"/>
                <w:szCs w:val="24"/>
                <w:highlight w:val="none"/>
                <w:lang w:val="en-US" w:eastAsia="zh-CN"/>
              </w:rPr>
              <w:t>46.36</w:t>
            </w:r>
            <w:r>
              <w:rPr>
                <w:rFonts w:hint="default" w:ascii="Times New Roman" w:hAnsi="Times New Roman" w:eastAsia="宋体" w:cs="Times New Roman"/>
                <w:b w:val="0"/>
                <w:bCs w:val="0"/>
                <w:color w:val="auto"/>
                <w:sz w:val="24"/>
                <w:szCs w:val="24"/>
                <w:highlight w:val="none"/>
                <w:lang w:val="en-US" w:eastAsia="zh-CN"/>
              </w:rPr>
              <w:t>mg/L、</w:t>
            </w:r>
            <w:r>
              <w:rPr>
                <w:rFonts w:hint="eastAsia" w:ascii="Times New Roman" w:hAnsi="Times New Roman" w:eastAsia="宋体" w:cs="Times New Roman"/>
                <w:b w:val="0"/>
                <w:bCs w:val="0"/>
                <w:color w:val="auto"/>
                <w:sz w:val="24"/>
                <w:szCs w:val="24"/>
                <w:highlight w:val="none"/>
                <w:lang w:val="en-US" w:eastAsia="zh-CN"/>
              </w:rPr>
              <w:t>总磷</w:t>
            </w:r>
            <w:r>
              <w:rPr>
                <w:rFonts w:hint="default" w:ascii="Times New Roman" w:hAnsi="Times New Roman" w:eastAsia="宋体" w:cs="Times New Roman"/>
                <w:b w:val="0"/>
                <w:bCs w:val="0"/>
                <w:color w:val="auto"/>
                <w:sz w:val="24"/>
                <w:szCs w:val="24"/>
                <w:highlight w:val="none"/>
                <w:lang w:val="en-US" w:eastAsia="zh-CN"/>
              </w:rPr>
              <w:t>平均值为</w:t>
            </w:r>
            <w:r>
              <w:rPr>
                <w:rFonts w:hint="eastAsia" w:ascii="Times New Roman" w:hAnsi="Times New Roman" w:eastAsia="宋体" w:cs="Times New Roman"/>
                <w:b w:val="0"/>
                <w:bCs w:val="0"/>
                <w:color w:val="auto"/>
                <w:sz w:val="24"/>
                <w:szCs w:val="24"/>
                <w:highlight w:val="none"/>
                <w:lang w:val="en-US" w:eastAsia="zh-CN"/>
              </w:rPr>
              <w:t>0.69</w:t>
            </w:r>
            <w:r>
              <w:rPr>
                <w:rFonts w:hint="default" w:ascii="Times New Roman" w:hAnsi="Times New Roman" w:eastAsia="宋体" w:cs="Times New Roman"/>
                <w:b w:val="0"/>
                <w:bCs w:val="0"/>
                <w:color w:val="auto"/>
                <w:sz w:val="24"/>
                <w:szCs w:val="24"/>
                <w:highlight w:val="none"/>
                <w:lang w:val="en-US" w:eastAsia="zh-CN"/>
              </w:rPr>
              <w:t>mg/L、溶解性总固体平均值为</w:t>
            </w:r>
            <w:r>
              <w:rPr>
                <w:rFonts w:hint="eastAsia" w:ascii="Times New Roman" w:hAnsi="Times New Roman" w:eastAsia="宋体" w:cs="Times New Roman"/>
                <w:b w:val="0"/>
                <w:bCs w:val="0"/>
                <w:color w:val="auto"/>
                <w:sz w:val="24"/>
                <w:szCs w:val="24"/>
                <w:highlight w:val="none"/>
                <w:lang w:val="en-US" w:eastAsia="zh-CN"/>
              </w:rPr>
              <w:t>982.37</w:t>
            </w:r>
            <w:r>
              <w:rPr>
                <w:rFonts w:hint="default" w:ascii="Times New Roman" w:hAnsi="Times New Roman" w:eastAsia="宋体" w:cs="Times New Roman"/>
                <w:b w:val="0"/>
                <w:bCs w:val="0"/>
                <w:color w:val="auto"/>
                <w:sz w:val="24"/>
                <w:szCs w:val="24"/>
                <w:highlight w:val="none"/>
                <w:lang w:val="en-US" w:eastAsia="zh-CN"/>
              </w:rPr>
              <w:t>mg/L、总氮平均值为1.</w:t>
            </w:r>
            <w:r>
              <w:rPr>
                <w:rFonts w:hint="eastAsia" w:ascii="Times New Roman" w:hAnsi="Times New Roman" w:eastAsia="宋体" w:cs="Times New Roman"/>
                <w:b w:val="0"/>
                <w:bCs w:val="0"/>
                <w:color w:val="auto"/>
                <w:sz w:val="24"/>
                <w:szCs w:val="24"/>
                <w:highlight w:val="none"/>
                <w:lang w:val="en-US" w:eastAsia="zh-CN"/>
              </w:rPr>
              <w:t>83</w:t>
            </w:r>
            <w:r>
              <w:rPr>
                <w:rFonts w:hint="default" w:ascii="Times New Roman" w:hAnsi="Times New Roman" w:eastAsia="宋体" w:cs="Times New Roman"/>
                <w:b w:val="0"/>
                <w:bCs w:val="0"/>
                <w:color w:val="auto"/>
                <w:sz w:val="24"/>
                <w:szCs w:val="24"/>
                <w:highlight w:val="none"/>
                <w:lang w:val="en-US" w:eastAsia="zh-CN"/>
              </w:rPr>
              <w:t>mg/L</w:t>
            </w:r>
            <w:r>
              <w:rPr>
                <w:rFonts w:hint="default" w:ascii="Times New Roman" w:hAnsi="Times New Roman" w:eastAsia="宋体" w:cs="Times New Roman"/>
                <w:b w:val="0"/>
                <w:bCs w:val="0"/>
                <w:color w:val="auto"/>
                <w:sz w:val="24"/>
                <w:szCs w:val="24"/>
                <w:highlight w:val="none"/>
                <w:lang w:eastAsia="zh-CN"/>
              </w:rPr>
              <w:t>，</w:t>
            </w:r>
            <w:r>
              <w:rPr>
                <w:rFonts w:ascii="Times New Roman" w:hAnsi="Times New Roman" w:cs="Times New Roman" w:eastAsiaTheme="minorEastAsia"/>
                <w:sz w:val="24"/>
                <w:szCs w:val="24"/>
                <w:highlight w:val="none"/>
              </w:rPr>
              <w:t>排放</w:t>
            </w:r>
            <w:r>
              <w:rPr>
                <w:rFonts w:hint="eastAsia" w:ascii="Times New Roman" w:hAnsi="Times New Roman" w:cs="Times New Roman" w:eastAsiaTheme="minorEastAsia"/>
                <w:sz w:val="24"/>
                <w:szCs w:val="24"/>
                <w:highlight w:val="none"/>
              </w:rPr>
              <w:t>均</w:t>
            </w:r>
            <w:r>
              <w:rPr>
                <w:rFonts w:ascii="Times New Roman" w:hAnsi="Times New Roman" w:cs="Times New Roman" w:eastAsiaTheme="minorEastAsia"/>
                <w:sz w:val="24"/>
                <w:szCs w:val="24"/>
                <w:highlight w:val="none"/>
              </w:rPr>
              <w:t>满足《污水排入城镇下水道水质标准》（GB/T31962-2015）</w:t>
            </w:r>
            <w:r>
              <w:rPr>
                <w:rFonts w:hint="eastAsia" w:ascii="Times New Roman" w:hAnsi="Times New Roman" w:cs="Times New Roman" w:eastAsiaTheme="minorEastAsia"/>
                <w:sz w:val="24"/>
                <w:szCs w:val="24"/>
                <w:highlight w:val="none"/>
              </w:rPr>
              <w:t>B</w:t>
            </w:r>
            <w:r>
              <w:rPr>
                <w:rFonts w:ascii="Times New Roman" w:hAnsi="Times New Roman" w:cs="Times New Roman" w:eastAsiaTheme="minorEastAsia"/>
                <w:sz w:val="24"/>
                <w:szCs w:val="24"/>
                <w:highlight w:val="none"/>
              </w:rPr>
              <w:t>级标准。</w:t>
            </w:r>
          </w:p>
          <w:p>
            <w:pPr>
              <w:keepNext w:val="0"/>
              <w:keepLines w:val="0"/>
              <w:pageBreakBefore w:val="0"/>
              <w:widowControl w:val="0"/>
              <w:kinsoku/>
              <w:wordWrap/>
              <w:overflowPunct/>
              <w:topLinePunct w:val="0"/>
              <w:bidi w:val="0"/>
              <w:snapToGrid/>
              <w:spacing w:after="0" w:line="55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）排放总量</w:t>
            </w:r>
          </w:p>
          <w:p>
            <w:pPr>
              <w:keepNext w:val="0"/>
              <w:keepLines w:val="0"/>
              <w:pageBreakBefore w:val="0"/>
              <w:widowControl w:val="0"/>
              <w:kinsoku/>
              <w:wordWrap/>
              <w:overflowPunct/>
              <w:topLinePunct w:val="0"/>
              <w:autoSpaceDE/>
              <w:autoSpaceDN/>
              <w:bidi w:val="0"/>
              <w:snapToGrid w:val="0"/>
              <w:spacing w:after="0" w:line="56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highlight w:val="none"/>
                <w:lang w:eastAsia="zh-CN"/>
              </w:rPr>
              <w:t>颗粒物排放量</w:t>
            </w:r>
            <w:r>
              <w:rPr>
                <w:rFonts w:hint="eastAsia" w:ascii="Times New Roman" w:hAnsi="Times New Roman" w:eastAsia="宋体" w:cs="Times New Roman"/>
                <w:color w:val="auto"/>
                <w:sz w:val="24"/>
                <w:highlight w:val="none"/>
                <w:lang w:val="en-US" w:eastAsia="zh-CN"/>
              </w:rPr>
              <w:t>0.15</w:t>
            </w:r>
            <w:r>
              <w:rPr>
                <w:rFonts w:hint="default" w:ascii="Times New Roman" w:hAnsi="Times New Roman" w:eastAsia="宋体" w:cs="Times New Roman"/>
                <w:color w:val="auto"/>
                <w:sz w:val="24"/>
                <w:highlight w:val="none"/>
                <w:lang w:eastAsia="zh-CN"/>
              </w:rPr>
              <w:t>t/a</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本项目生活污水经化粪池预处理后排入经市政污水管网排入世纪花园污水处理厂处理后最终排入龙口市泳汶河污水处理厂进行处理，其总量指标纳入龙口市泳汶河污水处理厂的总量控制指标中，因此无需申请COD、氨氮总量指标</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项目环评报告中颗粒物排放量为</w:t>
            </w:r>
            <w:r>
              <w:rPr>
                <w:rFonts w:hint="eastAsia" w:ascii="Times New Roman" w:hAnsi="Times New Roman" w:eastAsia="宋体" w:cs="Times New Roman"/>
                <w:color w:val="auto"/>
                <w:sz w:val="24"/>
                <w:szCs w:val="24"/>
                <w:highlight w:val="none"/>
                <w:lang w:val="en-US" w:eastAsia="zh-CN"/>
              </w:rPr>
              <w:t>1.024</w:t>
            </w:r>
            <w:r>
              <w:rPr>
                <w:rFonts w:hint="default" w:ascii="Times New Roman" w:hAnsi="Times New Roman" w:eastAsia="宋体" w:cs="Times New Roman"/>
                <w:color w:val="auto"/>
                <w:sz w:val="24"/>
                <w:szCs w:val="24"/>
                <w:highlight w:val="none"/>
                <w:lang w:eastAsia="zh-CN"/>
              </w:rPr>
              <w:t>t/a</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本次验收满足总量控制指标要求</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snapToGrid/>
              <w:spacing w:after="0" w:line="550" w:lineRule="exact"/>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8.4工程建设对环境的影响</w:t>
            </w:r>
          </w:p>
          <w:p>
            <w:pPr>
              <w:keepNext w:val="0"/>
              <w:keepLines w:val="0"/>
              <w:pageBreakBefore w:val="0"/>
              <w:widowControl w:val="0"/>
              <w:kinsoku/>
              <w:wordWrap/>
              <w:overflowPunct/>
              <w:topLinePunct w:val="0"/>
              <w:bidi w:val="0"/>
              <w:snapToGrid/>
              <w:spacing w:after="0" w:line="55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验收未对周边空气环境、地下水以及地表水环境、声环境质量现状进行监测，依据环评数据显示，项目周边空气环境、地下水及满足国家规定的质量指标要求，地表水满足相关质量指标要求，声环境满足相关质量指标要求。</w:t>
            </w:r>
          </w:p>
          <w:p>
            <w:pPr>
              <w:keepNext w:val="0"/>
              <w:keepLines w:val="0"/>
              <w:pageBreakBefore w:val="0"/>
              <w:widowControl w:val="0"/>
              <w:kinsoku/>
              <w:wordWrap/>
              <w:overflowPunct/>
              <w:topLinePunct w:val="0"/>
              <w:bidi w:val="0"/>
              <w:snapToGrid/>
              <w:spacing w:after="0" w:line="550" w:lineRule="exact"/>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8.5结论</w:t>
            </w:r>
          </w:p>
          <w:p>
            <w:pPr>
              <w:pStyle w:val="36"/>
              <w:keepNext w:val="0"/>
              <w:keepLines w:val="0"/>
              <w:pageBreakBefore w:val="0"/>
              <w:kinsoku/>
              <w:wordWrap/>
              <w:overflowPunct/>
              <w:topLinePunct w:val="0"/>
              <w:bidi w:val="0"/>
              <w:spacing w:line="550" w:lineRule="exact"/>
              <w:ind w:firstLine="480" w:firstLineChars="200"/>
              <w:jc w:val="both"/>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山东南山铝业股份有限公司木托盘、包装木箱生产线建设项目</w:t>
            </w:r>
            <w:r>
              <w:rPr>
                <w:rFonts w:hint="default" w:ascii="Times New Roman" w:hAnsi="Times New Roman" w:eastAsia="宋体" w:cs="Times New Roman"/>
                <w:color w:val="auto"/>
                <w:highlight w:val="none"/>
              </w:rPr>
              <w:t>按照相关法律法规进行了环境影响评价，环评手续齐全，符合“三同时”验收要求。该项目落实了环评批复中的环保要求，监测的主要污染物能达标排放，符合建设项目竣工环境保护验收条件。</w:t>
            </w:r>
          </w:p>
          <w:p>
            <w:pPr>
              <w:keepNext w:val="0"/>
              <w:keepLines w:val="0"/>
              <w:pageBreakBefore w:val="0"/>
              <w:widowControl w:val="0"/>
              <w:kinsoku/>
              <w:wordWrap/>
              <w:overflowPunct/>
              <w:topLinePunct w:val="0"/>
              <w:bidi w:val="0"/>
              <w:snapToGrid/>
              <w:spacing w:after="0" w:line="550" w:lineRule="exact"/>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8.6建议</w:t>
            </w:r>
          </w:p>
          <w:p>
            <w:pPr>
              <w:pStyle w:val="36"/>
              <w:keepNext w:val="0"/>
              <w:keepLines w:val="0"/>
              <w:pageBreakBefore w:val="0"/>
              <w:kinsoku/>
              <w:wordWrap/>
              <w:overflowPunct/>
              <w:topLinePunct w:val="0"/>
              <w:bidi w:val="0"/>
              <w:spacing w:line="550" w:lineRule="exact"/>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（1）应完善环境管理规章制度，制定具有可操作性的环保规章以进一步加强环境管理。</w:t>
            </w:r>
          </w:p>
          <w:p>
            <w:pPr>
              <w:pStyle w:val="36"/>
              <w:keepNext w:val="0"/>
              <w:keepLines w:val="0"/>
              <w:pageBreakBefore w:val="0"/>
              <w:kinsoku/>
              <w:wordWrap/>
              <w:overflowPunct/>
              <w:topLinePunct w:val="0"/>
              <w:bidi w:val="0"/>
              <w:spacing w:line="550" w:lineRule="exact"/>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（2）要定期进行安全、操作方面的培训和应急演练，做好安全防范工作。</w:t>
            </w:r>
          </w:p>
          <w:p>
            <w:pPr>
              <w:pStyle w:val="36"/>
              <w:keepNext w:val="0"/>
              <w:keepLines w:val="0"/>
              <w:pageBreakBefore w:val="0"/>
              <w:kinsoku/>
              <w:wordWrap/>
              <w:overflowPunct/>
              <w:topLinePunct w:val="0"/>
              <w:bidi w:val="0"/>
              <w:spacing w:line="550" w:lineRule="exact"/>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（3）加强对员工的环保培训，提高员工的环保意识。</w:t>
            </w:r>
          </w:p>
          <w:p>
            <w:pPr>
              <w:pStyle w:val="36"/>
              <w:keepNext w:val="0"/>
              <w:keepLines w:val="0"/>
              <w:pageBreakBefore w:val="0"/>
              <w:kinsoku/>
              <w:wordWrap/>
              <w:overflowPunct/>
              <w:topLinePunct w:val="0"/>
              <w:bidi w:val="0"/>
              <w:spacing w:line="550" w:lineRule="exact"/>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（4）定期检查环保设备运行状态，保证污染物达标排放。</w:t>
            </w:r>
          </w:p>
          <w:p>
            <w:pPr>
              <w:pStyle w:val="36"/>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br w:type="textWrapping"/>
            </w:r>
          </w:p>
        </w:tc>
      </w:tr>
    </w:tbl>
    <w:p>
      <w:pPr>
        <w:pStyle w:val="2"/>
        <w:rPr>
          <w:rFonts w:hint="default" w:ascii="Times New Roman" w:hAnsi="Times New Roman" w:cs="Times New Roman"/>
          <w:color w:val="0000FF"/>
        </w:rPr>
        <w:sectPr>
          <w:footerReference r:id="rId6" w:type="default"/>
          <w:pgSz w:w="11906" w:h="16838"/>
          <w:pgMar w:top="1440" w:right="1644" w:bottom="1440" w:left="164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spacing w:before="0" w:after="140"/>
        <w:jc w:val="center"/>
        <w:rPr>
          <w:rFonts w:hint="default" w:ascii="Times New Roman" w:hAnsi="Times New Roman" w:eastAsia="黑体" w:cs="Times New Roman"/>
          <w:color w:val="auto"/>
          <w:szCs w:val="21"/>
        </w:rPr>
      </w:pPr>
      <w:bookmarkStart w:id="0" w:name="_Toc22214"/>
      <w:r>
        <w:rPr>
          <w:rFonts w:hint="default" w:ascii="Times New Roman" w:hAnsi="Times New Roman" w:cs="Times New Roman"/>
          <w:color w:val="auto"/>
        </w:rPr>
        <w:t>建设项目环境保护“三同时”竣工验收登记表</w:t>
      </w:r>
      <w:bookmarkEnd w:id="0"/>
    </w:p>
    <w:p>
      <w:pPr>
        <w:spacing w:after="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填表单位（盖章）</w:t>
      </w:r>
      <w:r>
        <w:rPr>
          <w:rFonts w:hint="default" w:ascii="Times New Roman" w:hAnsi="Times New Roman" w:eastAsia="宋体" w:cs="Times New Roman"/>
          <w:b/>
          <w:color w:val="auto"/>
          <w:kern w:val="2"/>
          <w:sz w:val="21"/>
          <w:szCs w:val="21"/>
        </w:rPr>
        <w:t>：</w:t>
      </w:r>
      <w:r>
        <w:rPr>
          <w:rFonts w:hint="default" w:ascii="Times New Roman" w:hAnsi="Times New Roman" w:eastAsia="宋体" w:cs="Times New Roman"/>
          <w:b/>
          <w:color w:val="auto"/>
          <w:sz w:val="21"/>
          <w:szCs w:val="21"/>
        </w:rPr>
        <w:t xml:space="preserve">                  填表人（签字）：                              项目经办人（签字）：</w:t>
      </w:r>
    </w:p>
    <w:tbl>
      <w:tblPr>
        <w:tblStyle w:val="23"/>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20"/>
        <w:gridCol w:w="526"/>
        <w:gridCol w:w="602"/>
        <w:gridCol w:w="1063"/>
        <w:gridCol w:w="1050"/>
        <w:gridCol w:w="1995"/>
        <w:gridCol w:w="1140"/>
        <w:gridCol w:w="675"/>
        <w:gridCol w:w="441"/>
        <w:gridCol w:w="1133"/>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440" w:type="dxa"/>
            <w:vMerge w:val="restart"/>
            <w:textDirection w:val="tbRlV"/>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建设项目</w:t>
            </w:r>
          </w:p>
        </w:tc>
        <w:tc>
          <w:tcPr>
            <w:tcW w:w="2018" w:type="dxa"/>
            <w:gridSpan w:val="3"/>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项目名称</w:t>
            </w:r>
          </w:p>
        </w:tc>
        <w:tc>
          <w:tcPr>
            <w:tcW w:w="5543" w:type="dxa"/>
            <w:gridSpan w:val="6"/>
            <w:vAlign w:val="center"/>
          </w:tcPr>
          <w:p>
            <w:pPr>
              <w:spacing w:after="0"/>
              <w:jc w:val="center"/>
              <w:rPr>
                <w:rFonts w:hint="default" w:ascii="Times New Roman" w:hAnsi="Times New Roman" w:eastAsia="宋体" w:cs="Times New Roman"/>
                <w:color w:val="auto"/>
                <w:kern w:val="2"/>
                <w:sz w:val="15"/>
                <w:szCs w:val="15"/>
                <w:lang w:eastAsia="zh-CN"/>
              </w:rPr>
            </w:pPr>
            <w:r>
              <w:rPr>
                <w:rFonts w:hint="eastAsia" w:ascii="Times New Roman" w:hAnsi="Times New Roman" w:eastAsia="宋体" w:cs="Times New Roman"/>
                <w:color w:val="auto"/>
                <w:kern w:val="2"/>
                <w:sz w:val="15"/>
                <w:szCs w:val="15"/>
                <w:lang w:eastAsia="zh-CN"/>
              </w:rPr>
              <w:t>木托盘、包装木箱生产线建设项目</w:t>
            </w:r>
          </w:p>
        </w:tc>
        <w:tc>
          <w:tcPr>
            <w:tcW w:w="2113"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项目代码</w:t>
            </w:r>
          </w:p>
        </w:tc>
        <w:tc>
          <w:tcPr>
            <w:tcW w:w="1995" w:type="dxa"/>
            <w:vAlign w:val="center"/>
          </w:tcPr>
          <w:p>
            <w:pPr>
              <w:spacing w:after="0"/>
              <w:jc w:val="center"/>
              <w:rPr>
                <w:rFonts w:hint="eastAsia" w:ascii="Times New Roman" w:hAnsi="Times New Roman" w:eastAsia="微软雅黑" w:cs="Times New Roman"/>
                <w:color w:val="auto"/>
                <w:kern w:val="2"/>
                <w:sz w:val="15"/>
                <w:szCs w:val="15"/>
                <w:lang w:val="en-US" w:eastAsia="zh-CN"/>
              </w:rPr>
            </w:pPr>
            <w:r>
              <w:rPr>
                <w:rFonts w:hint="eastAsia" w:ascii="Times New Roman" w:hAnsi="Times New Roman" w:cs="Times New Roman"/>
                <w:color w:val="auto"/>
                <w:kern w:val="2"/>
                <w:sz w:val="15"/>
                <w:szCs w:val="15"/>
                <w:lang w:val="en-US" w:eastAsia="zh-CN"/>
              </w:rPr>
              <w:t>/</w:t>
            </w:r>
          </w:p>
        </w:tc>
        <w:tc>
          <w:tcPr>
            <w:tcW w:w="1815" w:type="dxa"/>
            <w:gridSpan w:val="2"/>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建设地点</w:t>
            </w:r>
          </w:p>
        </w:tc>
        <w:tc>
          <w:tcPr>
            <w:tcW w:w="2387" w:type="dxa"/>
            <w:gridSpan w:val="3"/>
            <w:vAlign w:val="center"/>
          </w:tcPr>
          <w:p>
            <w:pPr>
              <w:spacing w:after="0"/>
              <w:jc w:val="center"/>
              <w:rPr>
                <w:rFonts w:hint="default" w:ascii="Times New Roman" w:hAnsi="Times New Roman" w:eastAsia="宋体" w:cs="Times New Roman"/>
                <w:color w:val="auto"/>
                <w:kern w:val="2"/>
                <w:sz w:val="15"/>
                <w:szCs w:val="15"/>
                <w:lang w:eastAsia="zh-CN"/>
              </w:rPr>
            </w:pPr>
            <w:r>
              <w:rPr>
                <w:rFonts w:hint="eastAsia" w:ascii="Times New Roman" w:hAnsi="Times New Roman" w:eastAsia="宋体" w:cs="Times New Roman"/>
                <w:color w:val="auto"/>
                <w:kern w:val="2"/>
                <w:sz w:val="15"/>
                <w:szCs w:val="15"/>
                <w:lang w:eastAsia="zh-CN"/>
              </w:rPr>
              <w:t>山东省烟台市龙口市山东南山铝业股份有限公司现有厂区内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40" w:type="dxa"/>
            <w:vMerge w:val="continue"/>
            <w:vAlign w:val="center"/>
          </w:tcPr>
          <w:p>
            <w:pPr>
              <w:spacing w:after="0"/>
              <w:jc w:val="center"/>
              <w:rPr>
                <w:rFonts w:hint="default" w:ascii="Times New Roman" w:hAnsi="Times New Roman" w:cs="Times New Roman"/>
                <w:color w:val="0000FF"/>
                <w:kern w:val="2"/>
                <w:sz w:val="15"/>
                <w:szCs w:val="15"/>
              </w:rPr>
            </w:pPr>
          </w:p>
        </w:tc>
        <w:tc>
          <w:tcPr>
            <w:tcW w:w="2018" w:type="dxa"/>
            <w:gridSpan w:val="3"/>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行业类别（分类管理名录）</w:t>
            </w:r>
          </w:p>
        </w:tc>
        <w:tc>
          <w:tcPr>
            <w:tcW w:w="5543" w:type="dxa"/>
            <w:gridSpan w:val="6"/>
            <w:vAlign w:val="center"/>
          </w:tcPr>
          <w:p>
            <w:pPr>
              <w:spacing w:after="0"/>
              <w:jc w:val="center"/>
              <w:textAlignment w:val="center"/>
              <w:rPr>
                <w:rFonts w:hint="default" w:ascii="Times New Roman" w:hAnsi="Times New Roman" w:eastAsia="宋体" w:cs="Times New Roman"/>
                <w:color w:val="auto"/>
                <w:kern w:val="2"/>
                <w:sz w:val="15"/>
                <w:szCs w:val="15"/>
                <w:lang w:val="en-US"/>
              </w:rPr>
            </w:pPr>
            <w:r>
              <w:rPr>
                <w:rFonts w:hint="default" w:ascii="Times New Roman" w:hAnsi="Times New Roman" w:eastAsia="宋体" w:cs="Times New Roman"/>
                <w:color w:val="auto"/>
                <w:kern w:val="2"/>
                <w:sz w:val="15"/>
                <w:szCs w:val="15"/>
                <w:lang w:val="en-US" w:eastAsia="zh-CN"/>
              </w:rPr>
              <w:t>33木质制品制造203</w:t>
            </w:r>
          </w:p>
        </w:tc>
        <w:tc>
          <w:tcPr>
            <w:tcW w:w="2113"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建设性质</w:t>
            </w:r>
          </w:p>
        </w:tc>
        <w:tc>
          <w:tcPr>
            <w:tcW w:w="6197" w:type="dxa"/>
            <w:gridSpan w:val="6"/>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sym w:font="Wingdings 2" w:char="0052"/>
            </w:r>
            <w:r>
              <w:rPr>
                <w:rFonts w:hint="default" w:ascii="Times New Roman" w:hAnsi="Times New Roman" w:cs="Times New Roman"/>
                <w:b/>
                <w:color w:val="auto"/>
                <w:kern w:val="2"/>
                <w:sz w:val="15"/>
                <w:szCs w:val="15"/>
              </w:rPr>
              <w:t>新建  □ 改扩建  □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440" w:type="dxa"/>
            <w:vMerge w:val="continue"/>
            <w:vAlign w:val="center"/>
          </w:tcPr>
          <w:p>
            <w:pPr>
              <w:spacing w:after="0"/>
              <w:jc w:val="center"/>
              <w:rPr>
                <w:rFonts w:hint="default" w:ascii="Times New Roman" w:hAnsi="Times New Roman" w:cs="Times New Roman"/>
                <w:color w:val="0000FF"/>
                <w:kern w:val="2"/>
                <w:sz w:val="15"/>
                <w:szCs w:val="15"/>
              </w:rPr>
            </w:pPr>
          </w:p>
        </w:tc>
        <w:tc>
          <w:tcPr>
            <w:tcW w:w="2018" w:type="dxa"/>
            <w:gridSpan w:val="3"/>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设计生产能力</w:t>
            </w:r>
          </w:p>
        </w:tc>
        <w:tc>
          <w:tcPr>
            <w:tcW w:w="5543" w:type="dxa"/>
            <w:gridSpan w:val="6"/>
            <w:vAlign w:val="center"/>
          </w:tcPr>
          <w:p>
            <w:pPr>
              <w:spacing w:after="0"/>
              <w:jc w:val="center"/>
              <w:rPr>
                <w:rFonts w:hint="default" w:ascii="Times New Roman" w:hAnsi="Times New Roman" w:eastAsia="宋体" w:cs="Times New Roman"/>
                <w:color w:val="auto"/>
                <w:kern w:val="2"/>
                <w:sz w:val="15"/>
                <w:szCs w:val="15"/>
                <w:lang w:val="en-US"/>
              </w:rPr>
            </w:pPr>
            <w:r>
              <w:rPr>
                <w:rFonts w:hint="default" w:ascii="Times New Roman" w:hAnsi="Times New Roman" w:eastAsia="宋体" w:cs="Times New Roman"/>
                <w:color w:val="auto"/>
                <w:kern w:val="2"/>
                <w:sz w:val="15"/>
                <w:szCs w:val="15"/>
                <w:lang w:val="en-US" w:eastAsia="zh-CN"/>
              </w:rPr>
              <w:t>年产木托盘16万件、包装木箱14万件</w:t>
            </w:r>
          </w:p>
        </w:tc>
        <w:tc>
          <w:tcPr>
            <w:tcW w:w="2113" w:type="dxa"/>
            <w:gridSpan w:val="2"/>
            <w:vAlign w:val="center"/>
          </w:tcPr>
          <w:p>
            <w:pPr>
              <w:spacing w:after="0"/>
              <w:jc w:val="center"/>
              <w:rPr>
                <w:rFonts w:hint="default" w:ascii="Times New Roman" w:hAnsi="Times New Roman" w:cs="Times New Roman"/>
                <w:color w:val="auto"/>
                <w:kern w:val="2"/>
                <w:sz w:val="15"/>
                <w:szCs w:val="15"/>
                <w:highlight w:val="none"/>
              </w:rPr>
            </w:pPr>
            <w:r>
              <w:rPr>
                <w:rFonts w:hint="default" w:ascii="Times New Roman" w:hAnsi="Times New Roman" w:cs="Times New Roman"/>
                <w:b/>
                <w:color w:val="auto"/>
                <w:kern w:val="2"/>
                <w:sz w:val="15"/>
                <w:szCs w:val="15"/>
                <w:highlight w:val="none"/>
              </w:rPr>
              <w:t>实际生产能力</w:t>
            </w:r>
          </w:p>
        </w:tc>
        <w:tc>
          <w:tcPr>
            <w:tcW w:w="1995" w:type="dxa"/>
            <w:vAlign w:val="center"/>
          </w:tcPr>
          <w:p>
            <w:pPr>
              <w:spacing w:after="0"/>
              <w:jc w:val="center"/>
              <w:rPr>
                <w:rFonts w:hint="default" w:ascii="Times New Roman" w:hAnsi="Times New Roman" w:eastAsia="宋体" w:cs="Times New Roman"/>
                <w:b/>
                <w:color w:val="auto"/>
                <w:kern w:val="2"/>
                <w:sz w:val="15"/>
                <w:szCs w:val="15"/>
                <w:highlight w:val="none"/>
              </w:rPr>
            </w:pPr>
            <w:r>
              <w:rPr>
                <w:rFonts w:hint="default" w:ascii="Times New Roman" w:hAnsi="Times New Roman" w:eastAsia="宋体" w:cs="Times New Roman"/>
                <w:b/>
                <w:color w:val="auto"/>
                <w:kern w:val="2"/>
                <w:sz w:val="15"/>
                <w:szCs w:val="15"/>
                <w:highlight w:val="none"/>
                <w:lang w:val="en-US" w:eastAsia="zh-CN"/>
              </w:rPr>
              <w:t>年产木托盘16万件、包装木箱14万件</w:t>
            </w:r>
          </w:p>
        </w:tc>
        <w:tc>
          <w:tcPr>
            <w:tcW w:w="1815" w:type="dxa"/>
            <w:gridSpan w:val="2"/>
            <w:vAlign w:val="center"/>
          </w:tcPr>
          <w:p>
            <w:pPr>
              <w:spacing w:after="0"/>
              <w:jc w:val="center"/>
              <w:rPr>
                <w:rFonts w:hint="default" w:ascii="Times New Roman" w:hAnsi="Times New Roman" w:cs="Times New Roman"/>
                <w:color w:val="auto"/>
                <w:kern w:val="2"/>
                <w:sz w:val="15"/>
                <w:szCs w:val="15"/>
                <w:highlight w:val="none"/>
              </w:rPr>
            </w:pPr>
            <w:r>
              <w:rPr>
                <w:rFonts w:hint="default" w:ascii="Times New Roman" w:hAnsi="Times New Roman" w:cs="Times New Roman"/>
                <w:b/>
                <w:color w:val="auto"/>
                <w:kern w:val="2"/>
                <w:sz w:val="15"/>
                <w:szCs w:val="15"/>
                <w:highlight w:val="none"/>
              </w:rPr>
              <w:t>环评单位</w:t>
            </w:r>
          </w:p>
        </w:tc>
        <w:tc>
          <w:tcPr>
            <w:tcW w:w="2387" w:type="dxa"/>
            <w:gridSpan w:val="3"/>
            <w:vAlign w:val="center"/>
          </w:tcPr>
          <w:p>
            <w:pPr>
              <w:spacing w:after="0"/>
              <w:jc w:val="center"/>
              <w:rPr>
                <w:rFonts w:hint="default" w:ascii="Times New Roman" w:hAnsi="Times New Roman" w:eastAsia="宋体" w:cs="Times New Roman"/>
                <w:color w:val="auto"/>
                <w:kern w:val="2"/>
                <w:sz w:val="15"/>
                <w:szCs w:val="15"/>
                <w:lang w:eastAsia="zh-CN"/>
              </w:rPr>
            </w:pPr>
            <w:r>
              <w:rPr>
                <w:rFonts w:hint="eastAsia" w:ascii="Times New Roman" w:hAnsi="Times New Roman" w:eastAsia="宋体" w:cs="Times New Roman"/>
                <w:color w:val="auto"/>
                <w:kern w:val="2"/>
                <w:sz w:val="15"/>
                <w:szCs w:val="15"/>
                <w:lang w:eastAsia="zh-CN"/>
              </w:rPr>
              <w:t>烟台嘉隆技术咨询有限公司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 w:hRule="atLeast"/>
          <w:jc w:val="center"/>
        </w:trPr>
        <w:tc>
          <w:tcPr>
            <w:tcW w:w="440" w:type="dxa"/>
            <w:vMerge w:val="continue"/>
            <w:vAlign w:val="center"/>
          </w:tcPr>
          <w:p>
            <w:pPr>
              <w:spacing w:after="0"/>
              <w:jc w:val="center"/>
              <w:rPr>
                <w:rFonts w:hint="default" w:ascii="Times New Roman" w:hAnsi="Times New Roman" w:cs="Times New Roman"/>
                <w:color w:val="0000FF"/>
                <w:kern w:val="2"/>
                <w:sz w:val="15"/>
                <w:szCs w:val="15"/>
              </w:rPr>
            </w:pPr>
          </w:p>
        </w:tc>
        <w:tc>
          <w:tcPr>
            <w:tcW w:w="2018" w:type="dxa"/>
            <w:gridSpan w:val="3"/>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环评文件审批机关</w:t>
            </w:r>
          </w:p>
        </w:tc>
        <w:tc>
          <w:tcPr>
            <w:tcW w:w="5543" w:type="dxa"/>
            <w:gridSpan w:val="6"/>
            <w:vAlign w:val="center"/>
          </w:tcPr>
          <w:p>
            <w:pPr>
              <w:spacing w:after="0"/>
              <w:jc w:val="center"/>
              <w:rPr>
                <w:rFonts w:hint="default" w:ascii="Times New Roman" w:hAnsi="Times New Roman" w:eastAsia="微软雅黑" w:cs="Times New Roman"/>
                <w:color w:val="auto"/>
                <w:kern w:val="2"/>
                <w:sz w:val="15"/>
                <w:szCs w:val="15"/>
                <w:highlight w:val="none"/>
                <w:lang w:eastAsia="zh-CN"/>
              </w:rPr>
            </w:pPr>
            <w:r>
              <w:rPr>
                <w:rFonts w:hint="default" w:ascii="Times New Roman" w:hAnsi="Times New Roman" w:cs="Times New Roman" w:eastAsiaTheme="minorEastAsia"/>
                <w:color w:val="auto"/>
                <w:kern w:val="2"/>
                <w:sz w:val="15"/>
                <w:szCs w:val="15"/>
                <w:highlight w:val="none"/>
                <w:lang w:eastAsia="zh-CN"/>
              </w:rPr>
              <w:t>烟台市生态环境局龙口分局</w:t>
            </w:r>
          </w:p>
        </w:tc>
        <w:tc>
          <w:tcPr>
            <w:tcW w:w="2113" w:type="dxa"/>
            <w:gridSpan w:val="2"/>
            <w:vAlign w:val="center"/>
          </w:tcPr>
          <w:p>
            <w:pPr>
              <w:spacing w:after="0"/>
              <w:jc w:val="center"/>
              <w:rPr>
                <w:rFonts w:hint="default" w:ascii="Times New Roman" w:hAnsi="Times New Roman" w:cs="Times New Roman"/>
                <w:color w:val="auto"/>
                <w:kern w:val="2"/>
                <w:sz w:val="15"/>
                <w:szCs w:val="15"/>
                <w:highlight w:val="none"/>
              </w:rPr>
            </w:pPr>
            <w:r>
              <w:rPr>
                <w:rFonts w:hint="default" w:ascii="Times New Roman" w:hAnsi="Times New Roman" w:cs="Times New Roman"/>
                <w:b/>
                <w:bCs/>
                <w:color w:val="auto"/>
                <w:kern w:val="2"/>
                <w:sz w:val="15"/>
                <w:szCs w:val="15"/>
                <w:highlight w:val="none"/>
              </w:rPr>
              <w:t>审批文号</w:t>
            </w:r>
          </w:p>
        </w:tc>
        <w:tc>
          <w:tcPr>
            <w:tcW w:w="1995" w:type="dxa"/>
            <w:vAlign w:val="center"/>
          </w:tcPr>
          <w:p>
            <w:pPr>
              <w:spacing w:after="0"/>
              <w:jc w:val="center"/>
              <w:rPr>
                <w:rFonts w:hint="default" w:ascii="Times New Roman" w:hAnsi="Times New Roman" w:cs="Times New Roman"/>
                <w:color w:val="auto"/>
                <w:kern w:val="2"/>
                <w:sz w:val="15"/>
                <w:szCs w:val="15"/>
                <w:highlight w:val="none"/>
              </w:rPr>
            </w:pPr>
            <w:r>
              <w:rPr>
                <w:rFonts w:hint="default" w:ascii="Times New Roman" w:hAnsi="Times New Roman" w:cs="Times New Roman" w:eastAsiaTheme="minorEastAsia"/>
                <w:color w:val="auto"/>
                <w:kern w:val="2"/>
                <w:sz w:val="15"/>
                <w:szCs w:val="15"/>
                <w:highlight w:val="none"/>
              </w:rPr>
              <w:t>龙环报告表</w:t>
            </w:r>
            <w:r>
              <w:rPr>
                <w:rFonts w:hint="default" w:ascii="Times New Roman" w:hAnsi="Times New Roman" w:cs="Times New Roman" w:eastAsiaTheme="minorEastAsia"/>
                <w:color w:val="auto"/>
                <w:kern w:val="2"/>
                <w:sz w:val="15"/>
                <w:szCs w:val="15"/>
                <w:highlight w:val="none"/>
                <w:lang w:eastAsia="zh-CN"/>
              </w:rPr>
              <w:t>[20</w:t>
            </w:r>
            <w:r>
              <w:rPr>
                <w:rFonts w:hint="eastAsia" w:ascii="Times New Roman" w:hAnsi="Times New Roman" w:cs="Times New Roman" w:eastAsiaTheme="minorEastAsia"/>
                <w:color w:val="auto"/>
                <w:kern w:val="2"/>
                <w:sz w:val="15"/>
                <w:szCs w:val="15"/>
                <w:highlight w:val="none"/>
                <w:lang w:val="en-US" w:eastAsia="zh-CN"/>
              </w:rPr>
              <w:t>22</w:t>
            </w:r>
            <w:r>
              <w:rPr>
                <w:rFonts w:hint="default" w:ascii="Times New Roman" w:hAnsi="Times New Roman" w:cs="Times New Roman" w:eastAsiaTheme="minorEastAsia"/>
                <w:color w:val="auto"/>
                <w:kern w:val="2"/>
                <w:sz w:val="15"/>
                <w:szCs w:val="15"/>
                <w:highlight w:val="none"/>
                <w:lang w:eastAsia="zh-CN"/>
              </w:rPr>
              <w:t>]</w:t>
            </w:r>
            <w:r>
              <w:rPr>
                <w:rFonts w:hint="eastAsia" w:ascii="Times New Roman" w:hAnsi="Times New Roman" w:cs="Times New Roman" w:eastAsiaTheme="minorEastAsia"/>
                <w:color w:val="auto"/>
                <w:kern w:val="2"/>
                <w:sz w:val="15"/>
                <w:szCs w:val="15"/>
                <w:highlight w:val="none"/>
                <w:lang w:val="en-US" w:eastAsia="zh-CN"/>
              </w:rPr>
              <w:t>49</w:t>
            </w:r>
            <w:r>
              <w:rPr>
                <w:rFonts w:hint="default" w:ascii="Times New Roman" w:hAnsi="Times New Roman" w:cs="Times New Roman" w:eastAsiaTheme="minorEastAsia"/>
                <w:color w:val="auto"/>
                <w:kern w:val="2"/>
                <w:sz w:val="15"/>
                <w:szCs w:val="15"/>
                <w:highlight w:val="none"/>
                <w:lang w:eastAsia="zh-CN"/>
              </w:rPr>
              <w:t>号</w:t>
            </w:r>
          </w:p>
        </w:tc>
        <w:tc>
          <w:tcPr>
            <w:tcW w:w="1815"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环评文件类型</w:t>
            </w:r>
          </w:p>
        </w:tc>
        <w:tc>
          <w:tcPr>
            <w:tcW w:w="2387" w:type="dxa"/>
            <w:gridSpan w:val="3"/>
            <w:vAlign w:val="center"/>
          </w:tcPr>
          <w:p>
            <w:pPr>
              <w:spacing w:after="0"/>
              <w:jc w:val="center"/>
              <w:rPr>
                <w:rFonts w:hint="default" w:ascii="Times New Roman" w:hAnsi="Times New Roman" w:eastAsia="宋体" w:cs="Times New Roman"/>
                <w:color w:val="auto"/>
                <w:kern w:val="2"/>
                <w:sz w:val="15"/>
                <w:szCs w:val="15"/>
                <w:lang w:eastAsia="zh-CN"/>
              </w:rPr>
            </w:pPr>
            <w:r>
              <w:rPr>
                <w:rFonts w:hint="default" w:ascii="Times New Roman" w:hAnsi="Times New Roman" w:eastAsia="宋体" w:cs="Times New Roman"/>
                <w:color w:val="auto"/>
                <w:kern w:val="2"/>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40" w:type="dxa"/>
            <w:vMerge w:val="continue"/>
            <w:vAlign w:val="center"/>
          </w:tcPr>
          <w:p>
            <w:pPr>
              <w:spacing w:after="0"/>
              <w:jc w:val="center"/>
              <w:rPr>
                <w:rFonts w:hint="default" w:ascii="Times New Roman" w:hAnsi="Times New Roman" w:cs="Times New Roman"/>
                <w:color w:val="0000FF"/>
                <w:kern w:val="2"/>
                <w:sz w:val="15"/>
                <w:szCs w:val="15"/>
              </w:rPr>
            </w:pPr>
          </w:p>
        </w:tc>
        <w:tc>
          <w:tcPr>
            <w:tcW w:w="2018" w:type="dxa"/>
            <w:gridSpan w:val="3"/>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开工日期</w:t>
            </w:r>
          </w:p>
        </w:tc>
        <w:tc>
          <w:tcPr>
            <w:tcW w:w="5543" w:type="dxa"/>
            <w:gridSpan w:val="6"/>
            <w:shd w:val="clear" w:color="auto" w:fill="auto"/>
            <w:vAlign w:val="center"/>
          </w:tcPr>
          <w:p>
            <w:pPr>
              <w:spacing w:after="0"/>
              <w:jc w:val="center"/>
              <w:rPr>
                <w:rFonts w:hint="default" w:ascii="Times New Roman" w:hAnsi="Times New Roman" w:eastAsia="微软雅黑" w:cs="Times New Roman"/>
                <w:color w:val="auto"/>
                <w:kern w:val="2"/>
                <w:sz w:val="15"/>
                <w:szCs w:val="15"/>
                <w:highlight w:val="none"/>
                <w:lang w:eastAsia="zh-CN"/>
              </w:rPr>
            </w:pPr>
            <w:r>
              <w:rPr>
                <w:rFonts w:hint="default" w:ascii="Times New Roman" w:hAnsi="Times New Roman" w:cs="Times New Roman"/>
                <w:color w:val="auto"/>
                <w:kern w:val="2"/>
                <w:sz w:val="15"/>
                <w:szCs w:val="15"/>
                <w:highlight w:val="none"/>
                <w:lang w:eastAsia="zh-CN"/>
              </w:rPr>
              <w:t>20</w:t>
            </w:r>
            <w:r>
              <w:rPr>
                <w:rFonts w:hint="eastAsia" w:ascii="Times New Roman" w:hAnsi="Times New Roman" w:cs="Times New Roman"/>
                <w:color w:val="auto"/>
                <w:kern w:val="2"/>
                <w:sz w:val="15"/>
                <w:szCs w:val="15"/>
                <w:highlight w:val="none"/>
                <w:lang w:val="en-US" w:eastAsia="zh-CN"/>
              </w:rPr>
              <w:t>22</w:t>
            </w:r>
            <w:r>
              <w:rPr>
                <w:rFonts w:hint="default" w:ascii="Times New Roman" w:hAnsi="Times New Roman" w:cs="Times New Roman"/>
                <w:color w:val="auto"/>
                <w:kern w:val="2"/>
                <w:sz w:val="15"/>
                <w:szCs w:val="15"/>
                <w:highlight w:val="none"/>
                <w:lang w:eastAsia="zh-CN"/>
              </w:rPr>
              <w:t>年</w:t>
            </w:r>
            <w:r>
              <w:rPr>
                <w:rFonts w:hint="eastAsia" w:ascii="Times New Roman" w:hAnsi="Times New Roman" w:cs="Times New Roman"/>
                <w:color w:val="auto"/>
                <w:kern w:val="2"/>
                <w:sz w:val="15"/>
                <w:szCs w:val="15"/>
                <w:highlight w:val="none"/>
                <w:lang w:val="en-US" w:eastAsia="zh-CN"/>
              </w:rPr>
              <w:t>9</w:t>
            </w:r>
            <w:r>
              <w:rPr>
                <w:rFonts w:hint="default" w:ascii="Times New Roman" w:hAnsi="Times New Roman" w:cs="Times New Roman"/>
                <w:color w:val="auto"/>
                <w:kern w:val="2"/>
                <w:sz w:val="15"/>
                <w:szCs w:val="15"/>
                <w:highlight w:val="none"/>
                <w:lang w:eastAsia="zh-CN"/>
              </w:rPr>
              <w:t>月</w:t>
            </w:r>
          </w:p>
        </w:tc>
        <w:tc>
          <w:tcPr>
            <w:tcW w:w="2113" w:type="dxa"/>
            <w:gridSpan w:val="2"/>
            <w:shd w:val="clear" w:color="auto" w:fill="auto"/>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竣工日期</w:t>
            </w:r>
          </w:p>
        </w:tc>
        <w:tc>
          <w:tcPr>
            <w:tcW w:w="1995" w:type="dxa"/>
            <w:shd w:val="clear" w:color="auto" w:fill="auto"/>
            <w:vAlign w:val="center"/>
          </w:tcPr>
          <w:p>
            <w:pPr>
              <w:spacing w:after="0"/>
              <w:jc w:val="center"/>
              <w:rPr>
                <w:rFonts w:hint="default" w:ascii="Times New Roman" w:hAnsi="Times New Roman" w:eastAsia="宋体" w:cs="Times New Roman"/>
                <w:color w:val="auto"/>
                <w:kern w:val="2"/>
                <w:sz w:val="15"/>
                <w:szCs w:val="15"/>
                <w:highlight w:val="none"/>
              </w:rPr>
            </w:pPr>
            <w:r>
              <w:rPr>
                <w:rFonts w:hint="default" w:ascii="Times New Roman" w:hAnsi="Times New Roman" w:cs="Times New Roman"/>
                <w:color w:val="auto"/>
                <w:kern w:val="2"/>
                <w:sz w:val="15"/>
                <w:szCs w:val="15"/>
                <w:highlight w:val="none"/>
                <w:lang w:eastAsia="zh-CN"/>
              </w:rPr>
              <w:t>2022年</w:t>
            </w:r>
            <w:r>
              <w:rPr>
                <w:rFonts w:hint="eastAsia" w:ascii="Times New Roman" w:hAnsi="Times New Roman" w:cs="Times New Roman"/>
                <w:color w:val="auto"/>
                <w:kern w:val="2"/>
                <w:sz w:val="15"/>
                <w:szCs w:val="15"/>
                <w:highlight w:val="none"/>
                <w:lang w:val="en-US" w:eastAsia="zh-CN"/>
              </w:rPr>
              <w:t>10</w:t>
            </w:r>
            <w:r>
              <w:rPr>
                <w:rFonts w:hint="default" w:ascii="Times New Roman" w:hAnsi="Times New Roman" w:cs="Times New Roman"/>
                <w:color w:val="auto"/>
                <w:kern w:val="2"/>
                <w:sz w:val="15"/>
                <w:szCs w:val="15"/>
                <w:highlight w:val="none"/>
                <w:lang w:eastAsia="zh-CN"/>
              </w:rPr>
              <w:t>月</w:t>
            </w:r>
          </w:p>
        </w:tc>
        <w:tc>
          <w:tcPr>
            <w:tcW w:w="1815" w:type="dxa"/>
            <w:gridSpan w:val="2"/>
            <w:shd w:val="clear" w:color="auto" w:fill="auto"/>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排污许可证申领时间</w:t>
            </w:r>
          </w:p>
        </w:tc>
        <w:tc>
          <w:tcPr>
            <w:tcW w:w="2387" w:type="dxa"/>
            <w:gridSpan w:val="3"/>
            <w:shd w:val="clear" w:color="auto" w:fill="auto"/>
            <w:vAlign w:val="center"/>
          </w:tcPr>
          <w:p>
            <w:pPr>
              <w:spacing w:after="0"/>
              <w:jc w:val="center"/>
              <w:rPr>
                <w:rFonts w:hint="default" w:ascii="Times New Roman" w:hAnsi="Times New Roman" w:cs="Times New Roman"/>
                <w:color w:val="auto"/>
                <w:kern w:val="2"/>
                <w:sz w:val="15"/>
                <w:szCs w:val="15"/>
                <w:highlight w:val="none"/>
              </w:rPr>
            </w:pPr>
            <w:r>
              <w:rPr>
                <w:rFonts w:hint="eastAsia" w:ascii="Times New Roman" w:hAnsi="Times New Roman" w:cs="Times New Roman"/>
                <w:color w:val="auto"/>
                <w:kern w:val="2"/>
                <w:sz w:val="15"/>
                <w:szCs w:val="15"/>
                <w:highlight w:val="none"/>
                <w:lang w:val="en-US" w:eastAsia="zh-CN"/>
              </w:rPr>
              <w:t>2021</w:t>
            </w:r>
            <w:r>
              <w:rPr>
                <w:rFonts w:hint="default" w:ascii="Times New Roman" w:hAnsi="Times New Roman" w:cs="Times New Roman"/>
                <w:color w:val="auto"/>
                <w:kern w:val="2"/>
                <w:sz w:val="15"/>
                <w:szCs w:val="15"/>
                <w:highlight w:val="none"/>
              </w:rPr>
              <w:t>年</w:t>
            </w:r>
            <w:r>
              <w:rPr>
                <w:rFonts w:hint="eastAsia" w:ascii="Times New Roman" w:hAnsi="Times New Roman" w:cs="Times New Roman"/>
                <w:color w:val="auto"/>
                <w:kern w:val="2"/>
                <w:sz w:val="15"/>
                <w:szCs w:val="15"/>
                <w:highlight w:val="none"/>
                <w:lang w:val="en-US" w:eastAsia="zh-CN"/>
              </w:rPr>
              <w:t>07</w:t>
            </w:r>
            <w:r>
              <w:rPr>
                <w:rFonts w:hint="default" w:ascii="Times New Roman" w:hAnsi="Times New Roman" w:cs="Times New Roman"/>
                <w:color w:val="auto"/>
                <w:kern w:val="2"/>
                <w:sz w:val="15"/>
                <w:szCs w:val="15"/>
                <w:highlight w:val="none"/>
              </w:rPr>
              <w:t>月</w:t>
            </w:r>
            <w:r>
              <w:rPr>
                <w:rFonts w:hint="eastAsia" w:ascii="Times New Roman" w:hAnsi="Times New Roman" w:cs="Times New Roman"/>
                <w:color w:val="auto"/>
                <w:kern w:val="2"/>
                <w:sz w:val="15"/>
                <w:szCs w:val="15"/>
                <w:highlight w:val="none"/>
                <w:lang w:val="en-US" w:eastAsia="zh-CN"/>
              </w:rPr>
              <w:t>20</w:t>
            </w:r>
            <w:r>
              <w:rPr>
                <w:rFonts w:hint="default" w:ascii="Times New Roman" w:hAnsi="Times New Roman" w:cs="Times New Roman"/>
                <w:color w:val="auto"/>
                <w:kern w:val="2"/>
                <w:sz w:val="15"/>
                <w:szCs w:val="15"/>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40" w:type="dxa"/>
            <w:vMerge w:val="continue"/>
            <w:vAlign w:val="center"/>
          </w:tcPr>
          <w:p>
            <w:pPr>
              <w:spacing w:after="0"/>
              <w:jc w:val="center"/>
              <w:rPr>
                <w:rFonts w:hint="default" w:ascii="Times New Roman" w:hAnsi="Times New Roman" w:cs="Times New Roman"/>
                <w:color w:val="0000FF"/>
                <w:kern w:val="2"/>
                <w:sz w:val="15"/>
                <w:szCs w:val="15"/>
              </w:rPr>
            </w:pPr>
          </w:p>
        </w:tc>
        <w:tc>
          <w:tcPr>
            <w:tcW w:w="2018" w:type="dxa"/>
            <w:gridSpan w:val="3"/>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环保设施设计单位</w:t>
            </w:r>
          </w:p>
        </w:tc>
        <w:tc>
          <w:tcPr>
            <w:tcW w:w="5543" w:type="dxa"/>
            <w:gridSpan w:val="6"/>
            <w:vAlign w:val="center"/>
          </w:tcPr>
          <w:p>
            <w:pPr>
              <w:spacing w:after="0"/>
              <w:jc w:val="center"/>
              <w:rPr>
                <w:rFonts w:hint="eastAsia" w:ascii="Times New Roman" w:hAnsi="Times New Roman" w:eastAsia="微软雅黑" w:cs="Times New Roman"/>
                <w:b/>
                <w:color w:val="auto"/>
                <w:sz w:val="15"/>
                <w:szCs w:val="15"/>
                <w:lang w:val="en-US" w:eastAsia="zh-CN"/>
              </w:rPr>
            </w:pPr>
            <w:r>
              <w:rPr>
                <w:rFonts w:hint="eastAsia" w:ascii="Times New Roman" w:hAnsi="Times New Roman" w:cs="Times New Roman"/>
                <w:b/>
                <w:color w:val="auto"/>
                <w:sz w:val="15"/>
                <w:szCs w:val="15"/>
                <w:lang w:val="en-US" w:eastAsia="zh-CN"/>
              </w:rPr>
              <w:t>/</w:t>
            </w:r>
          </w:p>
        </w:tc>
        <w:tc>
          <w:tcPr>
            <w:tcW w:w="2113" w:type="dxa"/>
            <w:gridSpan w:val="2"/>
            <w:vAlign w:val="center"/>
          </w:tcPr>
          <w:p>
            <w:pPr>
              <w:spacing w:after="0"/>
              <w:jc w:val="center"/>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环保设施施工单位</w:t>
            </w:r>
          </w:p>
        </w:tc>
        <w:tc>
          <w:tcPr>
            <w:tcW w:w="1995" w:type="dxa"/>
            <w:vAlign w:val="center"/>
          </w:tcPr>
          <w:p>
            <w:pPr>
              <w:spacing w:after="0"/>
              <w:jc w:val="center"/>
              <w:rPr>
                <w:rFonts w:hint="eastAsia" w:ascii="Times New Roman" w:hAnsi="Times New Roman" w:eastAsia="微软雅黑" w:cs="Times New Roman"/>
                <w:color w:val="auto"/>
                <w:kern w:val="2"/>
                <w:sz w:val="15"/>
                <w:szCs w:val="15"/>
                <w:highlight w:val="none"/>
                <w:lang w:val="en-US" w:eastAsia="zh-CN"/>
              </w:rPr>
            </w:pPr>
            <w:r>
              <w:rPr>
                <w:rFonts w:hint="eastAsia" w:ascii="Times New Roman" w:hAnsi="Times New Roman" w:cs="Times New Roman"/>
                <w:color w:val="auto"/>
                <w:kern w:val="2"/>
                <w:sz w:val="15"/>
                <w:szCs w:val="15"/>
                <w:highlight w:val="none"/>
                <w:lang w:val="en-US" w:eastAsia="zh-CN"/>
              </w:rPr>
              <w:t>/</w:t>
            </w:r>
          </w:p>
        </w:tc>
        <w:tc>
          <w:tcPr>
            <w:tcW w:w="1815" w:type="dxa"/>
            <w:gridSpan w:val="2"/>
            <w:shd w:val="clear" w:color="auto" w:fill="auto"/>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本工程排污许可证编号</w:t>
            </w:r>
          </w:p>
        </w:tc>
        <w:tc>
          <w:tcPr>
            <w:tcW w:w="2387" w:type="dxa"/>
            <w:gridSpan w:val="3"/>
            <w:shd w:val="clear" w:color="auto" w:fill="auto"/>
            <w:vAlign w:val="center"/>
          </w:tcPr>
          <w:p>
            <w:pPr>
              <w:spacing w:after="0"/>
              <w:jc w:val="center"/>
              <w:rPr>
                <w:rFonts w:hint="default" w:ascii="Times New Roman" w:hAnsi="Times New Roman" w:eastAsia="微软雅黑" w:cs="Times New Roman"/>
                <w:color w:val="auto"/>
                <w:kern w:val="2"/>
                <w:sz w:val="15"/>
                <w:szCs w:val="15"/>
                <w:highlight w:val="none"/>
                <w:lang w:val="en-US" w:eastAsia="zh-CN"/>
              </w:rPr>
            </w:pPr>
            <w:r>
              <w:rPr>
                <w:rFonts w:hint="eastAsia" w:ascii="Times New Roman" w:hAnsi="Times New Roman" w:cs="Times New Roman"/>
                <w:color w:val="auto"/>
                <w:kern w:val="2"/>
                <w:sz w:val="15"/>
                <w:szCs w:val="15"/>
                <w:highlight w:val="none"/>
                <w:lang w:val="en-US" w:eastAsia="zh-CN"/>
              </w:rPr>
              <w:t>913700007058303114019Z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40" w:type="dxa"/>
            <w:vMerge w:val="continue"/>
            <w:vAlign w:val="center"/>
          </w:tcPr>
          <w:p>
            <w:pPr>
              <w:spacing w:after="0"/>
              <w:jc w:val="center"/>
              <w:rPr>
                <w:rFonts w:hint="default" w:ascii="Times New Roman" w:hAnsi="Times New Roman" w:cs="Times New Roman"/>
                <w:color w:val="0000FF"/>
                <w:kern w:val="2"/>
                <w:sz w:val="15"/>
                <w:szCs w:val="15"/>
              </w:rPr>
            </w:pPr>
          </w:p>
        </w:tc>
        <w:tc>
          <w:tcPr>
            <w:tcW w:w="2018" w:type="dxa"/>
            <w:gridSpan w:val="3"/>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验收监测单位</w:t>
            </w:r>
          </w:p>
        </w:tc>
        <w:tc>
          <w:tcPr>
            <w:tcW w:w="5543" w:type="dxa"/>
            <w:gridSpan w:val="6"/>
            <w:vAlign w:val="center"/>
          </w:tcPr>
          <w:p>
            <w:pPr>
              <w:spacing w:after="0"/>
              <w:jc w:val="center"/>
              <w:rPr>
                <w:rFonts w:hint="default" w:ascii="Times New Roman" w:hAnsi="Times New Roman" w:eastAsia="宋体" w:cs="Times New Roman"/>
                <w:b/>
                <w:color w:val="auto"/>
                <w:kern w:val="2"/>
                <w:sz w:val="15"/>
                <w:szCs w:val="15"/>
                <w:lang w:eastAsia="zh-CN"/>
              </w:rPr>
            </w:pPr>
            <w:r>
              <w:rPr>
                <w:rFonts w:hint="eastAsia" w:ascii="Times New Roman" w:hAnsi="Times New Roman" w:eastAsia="宋体" w:cs="Times New Roman"/>
                <w:b w:val="0"/>
                <w:bCs/>
                <w:color w:val="auto"/>
                <w:kern w:val="2"/>
                <w:sz w:val="15"/>
                <w:szCs w:val="15"/>
                <w:lang w:eastAsia="zh-CN"/>
              </w:rPr>
              <w:t>山东鼎立环境检测有限公司</w:t>
            </w:r>
          </w:p>
        </w:tc>
        <w:tc>
          <w:tcPr>
            <w:tcW w:w="2113"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环保设施监测单位</w:t>
            </w:r>
          </w:p>
        </w:tc>
        <w:tc>
          <w:tcPr>
            <w:tcW w:w="1995" w:type="dxa"/>
            <w:vAlign w:val="center"/>
          </w:tcPr>
          <w:p>
            <w:pPr>
              <w:spacing w:after="0"/>
              <w:jc w:val="center"/>
              <w:rPr>
                <w:rFonts w:hint="eastAsia" w:ascii="Times New Roman" w:hAnsi="Times New Roman" w:eastAsia="微软雅黑" w:cs="Times New Roman"/>
                <w:color w:val="auto"/>
                <w:kern w:val="2"/>
                <w:sz w:val="15"/>
                <w:szCs w:val="15"/>
                <w:lang w:val="en-US" w:eastAsia="zh-CN"/>
              </w:rPr>
            </w:pPr>
            <w:r>
              <w:rPr>
                <w:rFonts w:hint="eastAsia" w:ascii="Times New Roman" w:hAnsi="Times New Roman" w:cs="Times New Roman"/>
                <w:color w:val="auto"/>
                <w:kern w:val="2"/>
                <w:sz w:val="15"/>
                <w:szCs w:val="15"/>
                <w:lang w:val="en-US" w:eastAsia="zh-CN"/>
              </w:rPr>
              <w:t>/</w:t>
            </w:r>
          </w:p>
        </w:tc>
        <w:tc>
          <w:tcPr>
            <w:tcW w:w="1815"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验收监测时工况</w:t>
            </w:r>
          </w:p>
        </w:tc>
        <w:tc>
          <w:tcPr>
            <w:tcW w:w="2387" w:type="dxa"/>
            <w:gridSpan w:val="3"/>
            <w:vAlign w:val="center"/>
          </w:tcPr>
          <w:p>
            <w:pPr>
              <w:spacing w:after="0"/>
              <w:jc w:val="center"/>
              <w:rPr>
                <w:rFonts w:hint="eastAsia" w:ascii="Times New Roman" w:hAnsi="Times New Roman" w:eastAsia="宋体" w:cs="Times New Roman"/>
                <w:color w:val="0000FF"/>
                <w:kern w:val="2"/>
                <w:sz w:val="15"/>
                <w:szCs w:val="15"/>
                <w:lang w:val="en-US" w:eastAsia="zh-CN"/>
              </w:rPr>
            </w:pPr>
            <w:r>
              <w:rPr>
                <w:rFonts w:hint="eastAsia" w:ascii="Times New Roman" w:hAnsi="Times New Roman" w:eastAsia="宋体" w:cs="Times New Roman"/>
                <w:color w:val="0000FF"/>
                <w:kern w:val="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440" w:type="dxa"/>
            <w:vMerge w:val="continue"/>
            <w:vAlign w:val="center"/>
          </w:tcPr>
          <w:p>
            <w:pPr>
              <w:spacing w:after="0"/>
              <w:jc w:val="center"/>
              <w:rPr>
                <w:rFonts w:hint="default" w:ascii="Times New Roman" w:hAnsi="Times New Roman" w:cs="Times New Roman"/>
                <w:color w:val="0000FF"/>
                <w:kern w:val="2"/>
                <w:sz w:val="15"/>
                <w:szCs w:val="15"/>
              </w:rPr>
            </w:pPr>
          </w:p>
        </w:tc>
        <w:tc>
          <w:tcPr>
            <w:tcW w:w="2018" w:type="dxa"/>
            <w:gridSpan w:val="3"/>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投资总概算（万元）</w:t>
            </w:r>
          </w:p>
        </w:tc>
        <w:tc>
          <w:tcPr>
            <w:tcW w:w="5543" w:type="dxa"/>
            <w:gridSpan w:val="6"/>
            <w:vAlign w:val="center"/>
          </w:tcPr>
          <w:p>
            <w:pPr>
              <w:spacing w:after="0"/>
              <w:jc w:val="center"/>
              <w:rPr>
                <w:rFonts w:hint="default" w:ascii="Times New Roman" w:hAnsi="Times New Roman" w:eastAsia="宋体" w:cs="Times New Roman"/>
                <w:bCs/>
                <w:color w:val="auto"/>
                <w:kern w:val="2"/>
                <w:sz w:val="15"/>
                <w:szCs w:val="15"/>
                <w:highlight w:val="none"/>
                <w:lang w:val="en-US" w:eastAsia="zh-CN"/>
              </w:rPr>
            </w:pPr>
            <w:r>
              <w:rPr>
                <w:rFonts w:hint="eastAsia" w:ascii="Times New Roman" w:hAnsi="Times New Roman" w:eastAsia="宋体" w:cs="Times New Roman"/>
                <w:bCs/>
                <w:color w:val="auto"/>
                <w:kern w:val="2"/>
                <w:sz w:val="15"/>
                <w:szCs w:val="15"/>
                <w:highlight w:val="none"/>
                <w:lang w:val="en-US" w:eastAsia="zh-CN"/>
              </w:rPr>
              <w:t>720</w:t>
            </w:r>
          </w:p>
        </w:tc>
        <w:tc>
          <w:tcPr>
            <w:tcW w:w="2113" w:type="dxa"/>
            <w:gridSpan w:val="2"/>
            <w:vAlign w:val="center"/>
          </w:tcPr>
          <w:p>
            <w:pPr>
              <w:tabs>
                <w:tab w:val="left" w:pos="690"/>
              </w:tabs>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环保投资总概算（万元）</w:t>
            </w:r>
          </w:p>
        </w:tc>
        <w:tc>
          <w:tcPr>
            <w:tcW w:w="1995" w:type="dxa"/>
            <w:vAlign w:val="center"/>
          </w:tcPr>
          <w:p>
            <w:pPr>
              <w:spacing w:after="0"/>
              <w:jc w:val="center"/>
              <w:rPr>
                <w:rFonts w:hint="default" w:ascii="Times New Roman" w:hAnsi="Times New Roman" w:eastAsia="宋体" w:cs="Times New Roman"/>
                <w:bCs/>
                <w:color w:val="auto"/>
                <w:kern w:val="2"/>
                <w:sz w:val="15"/>
                <w:szCs w:val="15"/>
                <w:highlight w:val="none"/>
                <w:lang w:val="en-US" w:eastAsia="zh-CN"/>
              </w:rPr>
            </w:pPr>
            <w:r>
              <w:rPr>
                <w:rFonts w:hint="eastAsia" w:ascii="Times New Roman" w:hAnsi="Times New Roman" w:eastAsia="宋体" w:cs="Times New Roman"/>
                <w:bCs/>
                <w:color w:val="auto"/>
                <w:kern w:val="2"/>
                <w:sz w:val="15"/>
                <w:szCs w:val="15"/>
                <w:highlight w:val="none"/>
                <w:lang w:val="en-US" w:eastAsia="zh-CN"/>
              </w:rPr>
              <w:t>60</w:t>
            </w:r>
          </w:p>
        </w:tc>
        <w:tc>
          <w:tcPr>
            <w:tcW w:w="1815" w:type="dxa"/>
            <w:gridSpan w:val="2"/>
            <w:vAlign w:val="center"/>
          </w:tcPr>
          <w:p>
            <w:pPr>
              <w:tabs>
                <w:tab w:val="left" w:pos="690"/>
              </w:tabs>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所占比例（%）</w:t>
            </w:r>
          </w:p>
        </w:tc>
        <w:tc>
          <w:tcPr>
            <w:tcW w:w="2387" w:type="dxa"/>
            <w:gridSpan w:val="3"/>
            <w:vAlign w:val="center"/>
          </w:tcPr>
          <w:p>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Cs/>
                <w:color w:val="auto"/>
                <w:kern w:val="2"/>
                <w:sz w:val="15"/>
                <w:szCs w:val="15"/>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40" w:type="dxa"/>
            <w:vMerge w:val="continue"/>
            <w:vAlign w:val="center"/>
          </w:tcPr>
          <w:p>
            <w:pPr>
              <w:spacing w:after="0"/>
              <w:jc w:val="center"/>
              <w:rPr>
                <w:rFonts w:hint="default" w:ascii="Times New Roman" w:hAnsi="Times New Roman" w:cs="Times New Roman"/>
                <w:color w:val="0000FF"/>
                <w:kern w:val="2"/>
                <w:sz w:val="15"/>
                <w:szCs w:val="15"/>
              </w:rPr>
            </w:pPr>
          </w:p>
        </w:tc>
        <w:tc>
          <w:tcPr>
            <w:tcW w:w="2018" w:type="dxa"/>
            <w:gridSpan w:val="3"/>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实际总投资</w:t>
            </w:r>
          </w:p>
        </w:tc>
        <w:tc>
          <w:tcPr>
            <w:tcW w:w="5543" w:type="dxa"/>
            <w:gridSpan w:val="6"/>
            <w:vAlign w:val="center"/>
          </w:tcPr>
          <w:p>
            <w:pPr>
              <w:spacing w:after="0"/>
              <w:jc w:val="center"/>
              <w:rPr>
                <w:rFonts w:hint="default" w:ascii="Times New Roman" w:hAnsi="Times New Roman" w:eastAsia="宋体" w:cs="Times New Roman"/>
                <w:bCs/>
                <w:color w:val="auto"/>
                <w:kern w:val="2"/>
                <w:sz w:val="15"/>
                <w:szCs w:val="15"/>
                <w:highlight w:val="none"/>
                <w:lang w:val="en-US"/>
              </w:rPr>
            </w:pPr>
            <w:r>
              <w:rPr>
                <w:rFonts w:hint="eastAsia" w:ascii="Times New Roman" w:hAnsi="Times New Roman" w:eastAsia="宋体" w:cs="Times New Roman"/>
                <w:bCs/>
                <w:color w:val="auto"/>
                <w:kern w:val="2"/>
                <w:sz w:val="15"/>
                <w:szCs w:val="15"/>
                <w:highlight w:val="none"/>
                <w:lang w:val="en-US" w:eastAsia="zh-CN"/>
              </w:rPr>
              <w:t>720</w:t>
            </w:r>
          </w:p>
        </w:tc>
        <w:tc>
          <w:tcPr>
            <w:tcW w:w="2113"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实际环保投资（万元）</w:t>
            </w:r>
          </w:p>
        </w:tc>
        <w:tc>
          <w:tcPr>
            <w:tcW w:w="1995" w:type="dxa"/>
            <w:vAlign w:val="center"/>
          </w:tcPr>
          <w:p>
            <w:pPr>
              <w:spacing w:after="0"/>
              <w:jc w:val="center"/>
              <w:rPr>
                <w:rFonts w:hint="default" w:ascii="Times New Roman" w:hAnsi="Times New Roman" w:eastAsia="宋体" w:cs="Times New Roman"/>
                <w:bCs/>
                <w:color w:val="auto"/>
                <w:kern w:val="2"/>
                <w:sz w:val="15"/>
                <w:szCs w:val="15"/>
                <w:highlight w:val="none"/>
                <w:lang w:val="en-US" w:eastAsia="zh-CN"/>
              </w:rPr>
            </w:pPr>
            <w:r>
              <w:rPr>
                <w:rFonts w:hint="eastAsia" w:ascii="Times New Roman" w:hAnsi="Times New Roman" w:eastAsia="宋体" w:cs="Times New Roman"/>
                <w:bCs/>
                <w:color w:val="auto"/>
                <w:kern w:val="2"/>
                <w:sz w:val="15"/>
                <w:szCs w:val="15"/>
                <w:highlight w:val="none"/>
                <w:lang w:val="en-US" w:eastAsia="zh-CN"/>
              </w:rPr>
              <w:t>60</w:t>
            </w:r>
          </w:p>
        </w:tc>
        <w:tc>
          <w:tcPr>
            <w:tcW w:w="1815"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所占比例（%）</w:t>
            </w:r>
          </w:p>
        </w:tc>
        <w:tc>
          <w:tcPr>
            <w:tcW w:w="2387" w:type="dxa"/>
            <w:gridSpan w:val="3"/>
            <w:vAlign w:val="center"/>
          </w:tcPr>
          <w:p>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40" w:type="dxa"/>
            <w:vMerge w:val="continue"/>
            <w:vAlign w:val="center"/>
          </w:tcPr>
          <w:p>
            <w:pPr>
              <w:spacing w:after="0"/>
              <w:jc w:val="center"/>
              <w:rPr>
                <w:rFonts w:hint="default" w:ascii="Times New Roman" w:hAnsi="Times New Roman" w:cs="Times New Roman"/>
                <w:color w:val="0000FF"/>
                <w:kern w:val="2"/>
                <w:sz w:val="15"/>
                <w:szCs w:val="15"/>
              </w:rPr>
            </w:pPr>
          </w:p>
        </w:tc>
        <w:tc>
          <w:tcPr>
            <w:tcW w:w="2018" w:type="dxa"/>
            <w:gridSpan w:val="3"/>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废水治理（万元）</w:t>
            </w:r>
          </w:p>
        </w:tc>
        <w:tc>
          <w:tcPr>
            <w:tcW w:w="850" w:type="dxa"/>
            <w:vAlign w:val="center"/>
          </w:tcPr>
          <w:p>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20</w:t>
            </w:r>
          </w:p>
        </w:tc>
        <w:tc>
          <w:tcPr>
            <w:tcW w:w="1418" w:type="dxa"/>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废气治理（万元）</w:t>
            </w:r>
          </w:p>
        </w:tc>
        <w:tc>
          <w:tcPr>
            <w:tcW w:w="1127" w:type="dxa"/>
            <w:vAlign w:val="center"/>
          </w:tcPr>
          <w:p>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30</w:t>
            </w:r>
          </w:p>
        </w:tc>
        <w:tc>
          <w:tcPr>
            <w:tcW w:w="1546"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噪声治理（万元）</w:t>
            </w:r>
          </w:p>
        </w:tc>
        <w:tc>
          <w:tcPr>
            <w:tcW w:w="602" w:type="dxa"/>
            <w:vAlign w:val="center"/>
          </w:tcPr>
          <w:p>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3</w:t>
            </w:r>
          </w:p>
        </w:tc>
        <w:tc>
          <w:tcPr>
            <w:tcW w:w="2113" w:type="dxa"/>
            <w:gridSpan w:val="2"/>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固体废物治理（万元）</w:t>
            </w:r>
          </w:p>
        </w:tc>
        <w:tc>
          <w:tcPr>
            <w:tcW w:w="1995" w:type="dxa"/>
            <w:vAlign w:val="center"/>
          </w:tcPr>
          <w:p>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7</w:t>
            </w:r>
          </w:p>
        </w:tc>
        <w:tc>
          <w:tcPr>
            <w:tcW w:w="1815"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绿化及生态（万元）</w:t>
            </w:r>
          </w:p>
        </w:tc>
        <w:tc>
          <w:tcPr>
            <w:tcW w:w="441" w:type="dxa"/>
            <w:vAlign w:val="center"/>
          </w:tcPr>
          <w:p>
            <w:pPr>
              <w:spacing w:after="0"/>
              <w:jc w:val="center"/>
              <w:rPr>
                <w:rFonts w:hint="default" w:ascii="Times New Roman" w:hAnsi="Times New Roman" w:eastAsia="宋体" w:cs="Times New Roman"/>
                <w:color w:val="auto"/>
                <w:kern w:val="2"/>
                <w:sz w:val="15"/>
                <w:szCs w:val="15"/>
              </w:rPr>
            </w:pPr>
          </w:p>
        </w:tc>
        <w:tc>
          <w:tcPr>
            <w:tcW w:w="1133" w:type="dxa"/>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其他（万元）</w:t>
            </w:r>
          </w:p>
        </w:tc>
        <w:tc>
          <w:tcPr>
            <w:tcW w:w="813" w:type="dxa"/>
            <w:vAlign w:val="center"/>
          </w:tcPr>
          <w:p>
            <w:pPr>
              <w:spacing w:after="0"/>
              <w:jc w:val="center"/>
              <w:rPr>
                <w:rFonts w:hint="eastAsia"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40" w:type="dxa"/>
            <w:vMerge w:val="continue"/>
            <w:vAlign w:val="center"/>
          </w:tcPr>
          <w:p>
            <w:pPr>
              <w:spacing w:after="0"/>
              <w:jc w:val="center"/>
              <w:rPr>
                <w:rFonts w:hint="default" w:ascii="Times New Roman" w:hAnsi="Times New Roman" w:cs="Times New Roman"/>
                <w:color w:val="0000FF"/>
                <w:kern w:val="2"/>
                <w:sz w:val="15"/>
                <w:szCs w:val="15"/>
              </w:rPr>
            </w:pPr>
          </w:p>
        </w:tc>
        <w:tc>
          <w:tcPr>
            <w:tcW w:w="2018" w:type="dxa"/>
            <w:gridSpan w:val="3"/>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新增废水处理设施能力</w:t>
            </w:r>
          </w:p>
        </w:tc>
        <w:tc>
          <w:tcPr>
            <w:tcW w:w="5543" w:type="dxa"/>
            <w:gridSpan w:val="6"/>
            <w:vAlign w:val="center"/>
          </w:tcPr>
          <w:p>
            <w:pPr>
              <w:spacing w:after="0"/>
              <w:jc w:val="center"/>
              <w:rPr>
                <w:rFonts w:hint="eastAsia" w:ascii="Times New Roman" w:hAnsi="Times New Roman" w:eastAsia="微软雅黑" w:cs="Times New Roman"/>
                <w:color w:val="auto"/>
                <w:kern w:val="2"/>
                <w:sz w:val="15"/>
                <w:szCs w:val="15"/>
                <w:lang w:val="en-US" w:eastAsia="zh-CN"/>
              </w:rPr>
            </w:pPr>
            <w:r>
              <w:rPr>
                <w:rFonts w:hint="eastAsia" w:ascii="Times New Roman" w:hAnsi="Times New Roman" w:cs="Times New Roman"/>
                <w:color w:val="auto"/>
                <w:kern w:val="2"/>
                <w:sz w:val="15"/>
                <w:szCs w:val="15"/>
                <w:lang w:val="en-US" w:eastAsia="zh-CN"/>
              </w:rPr>
              <w:t>/</w:t>
            </w:r>
          </w:p>
        </w:tc>
        <w:tc>
          <w:tcPr>
            <w:tcW w:w="2113" w:type="dxa"/>
            <w:gridSpan w:val="2"/>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新增废气处理设施能力</w:t>
            </w:r>
          </w:p>
        </w:tc>
        <w:tc>
          <w:tcPr>
            <w:tcW w:w="1995" w:type="dxa"/>
            <w:vAlign w:val="center"/>
          </w:tcPr>
          <w:p>
            <w:pPr>
              <w:spacing w:after="0"/>
              <w:jc w:val="center"/>
              <w:rPr>
                <w:rFonts w:hint="eastAsia" w:ascii="Times New Roman" w:hAnsi="Times New Roman" w:eastAsia="微软雅黑" w:cs="Times New Roman"/>
                <w:color w:val="auto"/>
                <w:kern w:val="2"/>
                <w:sz w:val="15"/>
                <w:szCs w:val="15"/>
                <w:lang w:val="en-US" w:eastAsia="zh-CN"/>
              </w:rPr>
            </w:pPr>
            <w:r>
              <w:rPr>
                <w:rFonts w:hint="eastAsia" w:ascii="Times New Roman" w:hAnsi="Times New Roman" w:cs="Times New Roman"/>
                <w:color w:val="auto"/>
                <w:kern w:val="2"/>
                <w:sz w:val="15"/>
                <w:szCs w:val="15"/>
                <w:lang w:val="en-US" w:eastAsia="zh-CN"/>
              </w:rPr>
              <w:t>/</w:t>
            </w:r>
          </w:p>
        </w:tc>
        <w:tc>
          <w:tcPr>
            <w:tcW w:w="1815" w:type="dxa"/>
            <w:gridSpan w:val="2"/>
            <w:vAlign w:val="center"/>
          </w:tcPr>
          <w:p>
            <w:pPr>
              <w:spacing w:after="0"/>
              <w:jc w:val="center"/>
              <w:rPr>
                <w:rFonts w:hint="default" w:ascii="Times New Roman" w:hAnsi="Times New Roman" w:eastAsia="微软雅黑" w:cs="Times New Roman"/>
                <w:color w:val="auto"/>
                <w:kern w:val="2"/>
                <w:sz w:val="15"/>
                <w:szCs w:val="15"/>
                <w:highlight w:val="none"/>
                <w:lang w:eastAsia="zh-CN"/>
              </w:rPr>
            </w:pPr>
            <w:r>
              <w:rPr>
                <w:rFonts w:hint="default" w:ascii="Times New Roman" w:hAnsi="Times New Roman" w:cs="Times New Roman"/>
                <w:b/>
                <w:color w:val="auto"/>
                <w:kern w:val="2"/>
                <w:sz w:val="15"/>
                <w:szCs w:val="15"/>
                <w:highlight w:val="none"/>
              </w:rPr>
              <w:t>年平均工作时</w:t>
            </w:r>
            <w:r>
              <w:rPr>
                <w:rFonts w:hint="default" w:ascii="Times New Roman" w:hAnsi="Times New Roman" w:cs="Times New Roman"/>
                <w:b/>
                <w:color w:val="auto"/>
                <w:kern w:val="2"/>
                <w:sz w:val="15"/>
                <w:szCs w:val="15"/>
                <w:highlight w:val="none"/>
                <w:lang w:eastAsia="zh-CN"/>
              </w:rPr>
              <w:t>间</w:t>
            </w:r>
          </w:p>
        </w:tc>
        <w:tc>
          <w:tcPr>
            <w:tcW w:w="2387" w:type="dxa"/>
            <w:gridSpan w:val="3"/>
            <w:vAlign w:val="center"/>
          </w:tcPr>
          <w:p>
            <w:pPr>
              <w:spacing w:after="0"/>
              <w:jc w:val="center"/>
              <w:rPr>
                <w:rFonts w:hint="default" w:ascii="Times New Roman" w:hAnsi="Times New Roman" w:eastAsia="宋体" w:cs="Times New Roman"/>
                <w:color w:val="auto"/>
                <w:kern w:val="2"/>
                <w:sz w:val="15"/>
                <w:szCs w:val="15"/>
                <w:highlight w:val="none"/>
                <w:lang w:val="en-US"/>
              </w:rPr>
            </w:pPr>
            <w:r>
              <w:rPr>
                <w:rFonts w:hint="eastAsia" w:ascii="Times New Roman" w:hAnsi="Times New Roman" w:cs="Times New Roman"/>
                <w:color w:val="auto"/>
                <w:kern w:val="2"/>
                <w:sz w:val="15"/>
                <w:szCs w:val="15"/>
                <w:highlight w:val="none"/>
                <w:lang w:val="en-US" w:eastAsia="zh-CN"/>
              </w:rPr>
              <w:t>2400</w:t>
            </w:r>
            <w:r>
              <w:rPr>
                <w:rFonts w:hint="default" w:ascii="Times New Roman" w:hAnsi="Times New Roman" w:cs="Times New Roman"/>
                <w:color w:val="auto"/>
                <w:kern w:val="2"/>
                <w:sz w:val="15"/>
                <w:szCs w:val="15"/>
                <w:highlight w:val="no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 w:hRule="atLeast"/>
          <w:jc w:val="center"/>
        </w:trPr>
        <w:tc>
          <w:tcPr>
            <w:tcW w:w="2458" w:type="dxa"/>
            <w:gridSpan w:val="4"/>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运营单位</w:t>
            </w:r>
          </w:p>
        </w:tc>
        <w:tc>
          <w:tcPr>
            <w:tcW w:w="4415" w:type="dxa"/>
            <w:gridSpan w:val="4"/>
            <w:vAlign w:val="center"/>
          </w:tcPr>
          <w:p>
            <w:pPr>
              <w:spacing w:after="0"/>
              <w:jc w:val="center"/>
              <w:rPr>
                <w:rFonts w:hint="default" w:ascii="Times New Roman" w:hAnsi="Times New Roman" w:eastAsia="宋体" w:cs="Times New Roman"/>
                <w:color w:val="auto"/>
                <w:kern w:val="2"/>
                <w:sz w:val="15"/>
                <w:szCs w:val="15"/>
                <w:lang w:eastAsia="zh-CN"/>
              </w:rPr>
            </w:pPr>
            <w:r>
              <w:rPr>
                <w:rFonts w:hint="eastAsia" w:ascii="Times New Roman" w:hAnsi="Times New Roman" w:eastAsia="宋体" w:cs="Times New Roman"/>
                <w:color w:val="auto"/>
                <w:kern w:val="2"/>
                <w:sz w:val="15"/>
                <w:szCs w:val="15"/>
                <w:lang w:eastAsia="zh-CN"/>
              </w:rPr>
              <w:t>山东南山铝业股份有限公司</w:t>
            </w:r>
          </w:p>
        </w:tc>
        <w:tc>
          <w:tcPr>
            <w:tcW w:w="3241" w:type="dxa"/>
            <w:gridSpan w:val="4"/>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运营单位社会统一信用代码（或组织机构代码）</w:t>
            </w:r>
          </w:p>
        </w:tc>
        <w:tc>
          <w:tcPr>
            <w:tcW w:w="1995" w:type="dxa"/>
            <w:vAlign w:val="center"/>
          </w:tcPr>
          <w:p>
            <w:pPr>
              <w:spacing w:after="0"/>
              <w:jc w:val="center"/>
              <w:rPr>
                <w:rFonts w:hint="default" w:ascii="Times New Roman" w:hAnsi="Times New Roman" w:eastAsia="宋体" w:cs="Times New Roman"/>
                <w:b/>
                <w:color w:val="auto"/>
                <w:kern w:val="2"/>
                <w:sz w:val="15"/>
                <w:szCs w:val="15"/>
                <w:lang w:val="en-US" w:eastAsia="zh-CN"/>
              </w:rPr>
            </w:pPr>
            <w:r>
              <w:rPr>
                <w:rFonts w:hint="default" w:ascii="Times New Roman" w:hAnsi="Times New Roman" w:eastAsia="宋体" w:cs="Times New Roman"/>
                <w:b/>
                <w:color w:val="auto"/>
                <w:kern w:val="2"/>
                <w:sz w:val="15"/>
                <w:szCs w:val="15"/>
                <w:lang w:val="en-US" w:eastAsia="zh-CN"/>
              </w:rPr>
              <w:t>913700007058303114</w:t>
            </w:r>
          </w:p>
        </w:tc>
        <w:tc>
          <w:tcPr>
            <w:tcW w:w="1815" w:type="dxa"/>
            <w:gridSpan w:val="2"/>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验收时间</w:t>
            </w:r>
          </w:p>
        </w:tc>
        <w:tc>
          <w:tcPr>
            <w:tcW w:w="2387" w:type="dxa"/>
            <w:gridSpan w:val="3"/>
            <w:vAlign w:val="center"/>
          </w:tcPr>
          <w:p>
            <w:pPr>
              <w:spacing w:after="0"/>
              <w:jc w:val="center"/>
              <w:rPr>
                <w:rFonts w:hint="default" w:ascii="Times New Roman" w:hAnsi="Times New Roman" w:eastAsia="微软雅黑" w:cs="Times New Roman"/>
                <w:color w:val="auto"/>
                <w:kern w:val="2"/>
                <w:sz w:val="15"/>
                <w:szCs w:val="15"/>
                <w:highlight w:val="none"/>
                <w:lang w:val="en-US" w:eastAsia="zh-CN"/>
              </w:rPr>
            </w:pPr>
            <w:r>
              <w:rPr>
                <w:rFonts w:hint="default" w:ascii="Times New Roman" w:hAnsi="Times New Roman" w:cs="Times New Roman"/>
                <w:color w:val="auto"/>
                <w:kern w:val="2"/>
                <w:sz w:val="15"/>
                <w:szCs w:val="15"/>
                <w:highlight w:val="none"/>
                <w:lang w:val="en-US" w:eastAsia="zh-CN"/>
              </w:rPr>
              <w:t>202</w:t>
            </w:r>
            <w:r>
              <w:rPr>
                <w:rFonts w:hint="eastAsia" w:ascii="Times New Roman" w:hAnsi="Times New Roman" w:cs="Times New Roman"/>
                <w:color w:val="auto"/>
                <w:kern w:val="2"/>
                <w:sz w:val="15"/>
                <w:szCs w:val="15"/>
                <w:highlight w:val="none"/>
                <w:lang w:val="en-US" w:eastAsia="zh-CN"/>
              </w:rPr>
              <w:t>3</w:t>
            </w:r>
            <w:r>
              <w:rPr>
                <w:rFonts w:hint="default" w:ascii="Times New Roman" w:hAnsi="Times New Roman" w:cs="Times New Roman"/>
                <w:color w:val="auto"/>
                <w:kern w:val="2"/>
                <w:sz w:val="15"/>
                <w:szCs w:val="15"/>
                <w:highlight w:val="none"/>
                <w:lang w:val="en-US" w:eastAsia="zh-CN"/>
              </w:rPr>
              <w:t>年</w:t>
            </w:r>
            <w:r>
              <w:rPr>
                <w:rFonts w:hint="eastAsia" w:ascii="Times New Roman" w:hAnsi="Times New Roman" w:cs="Times New Roman"/>
                <w:color w:val="auto"/>
                <w:kern w:val="2"/>
                <w:sz w:val="15"/>
                <w:szCs w:val="15"/>
                <w:highlight w:val="none"/>
                <w:lang w:val="en-US" w:eastAsia="zh-CN"/>
              </w:rPr>
              <w:t>2</w:t>
            </w:r>
            <w:r>
              <w:rPr>
                <w:rFonts w:hint="default" w:ascii="Times New Roman" w:hAnsi="Times New Roman" w:cs="Times New Roman"/>
                <w:color w:val="auto"/>
                <w:kern w:val="2"/>
                <w:sz w:val="15"/>
                <w:szCs w:val="15"/>
                <w:highlight w:val="none"/>
                <w:lang w:val="en-US" w:eastAsia="zh-CN"/>
              </w:rPr>
              <w:t>月</w:t>
            </w:r>
            <w:r>
              <w:rPr>
                <w:rFonts w:hint="eastAsia" w:ascii="Times New Roman" w:hAnsi="Times New Roman" w:cs="Times New Roman"/>
                <w:color w:val="auto"/>
                <w:kern w:val="2"/>
                <w:sz w:val="15"/>
                <w:szCs w:val="15"/>
                <w:highlight w:val="none"/>
                <w:lang w:val="en-US" w:eastAsia="zh-CN"/>
              </w:rPr>
              <w:t>12</w:t>
            </w:r>
            <w:r>
              <w:rPr>
                <w:rFonts w:hint="default" w:ascii="Times New Roman" w:hAnsi="Times New Roman" w:cs="Times New Roman"/>
                <w:color w:val="auto"/>
                <w:kern w:val="2"/>
                <w:sz w:val="15"/>
                <w:szCs w:val="15"/>
                <w:highlight w:val="no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restart"/>
            <w:vAlign w:val="center"/>
          </w:tcPr>
          <w:p>
            <w:pPr>
              <w:spacing w:after="0"/>
              <w:jc w:val="center"/>
              <w:rPr>
                <w:rFonts w:hint="default" w:ascii="Times New Roman" w:hAnsi="Times New Roman" w:eastAsia="黑体" w:cs="Times New Roman"/>
                <w:b/>
                <w:color w:val="auto"/>
                <w:spacing w:val="20"/>
                <w:kern w:val="2"/>
                <w:sz w:val="15"/>
                <w:szCs w:val="15"/>
              </w:rPr>
            </w:pPr>
            <w:r>
              <w:rPr>
                <w:rFonts w:hint="default" w:ascii="Times New Roman" w:hAnsi="Times New Roman" w:eastAsia="黑体" w:cs="Times New Roman"/>
                <w:b/>
                <w:color w:val="auto"/>
                <w:spacing w:val="20"/>
                <w:kern w:val="2"/>
                <w:sz w:val="15"/>
                <w:szCs w:val="15"/>
              </w:rPr>
              <w:t>污染</w:t>
            </w:r>
          </w:p>
          <w:p>
            <w:pPr>
              <w:spacing w:after="0"/>
              <w:jc w:val="center"/>
              <w:rPr>
                <w:rFonts w:hint="default" w:ascii="Times New Roman" w:hAnsi="Times New Roman" w:eastAsia="黑体" w:cs="Times New Roman"/>
                <w:b/>
                <w:color w:val="auto"/>
                <w:spacing w:val="20"/>
                <w:kern w:val="2"/>
                <w:sz w:val="15"/>
                <w:szCs w:val="15"/>
              </w:rPr>
            </w:pPr>
            <w:r>
              <w:rPr>
                <w:rFonts w:hint="default" w:ascii="Times New Roman" w:hAnsi="Times New Roman" w:eastAsia="黑体" w:cs="Times New Roman"/>
                <w:b/>
                <w:color w:val="auto"/>
                <w:spacing w:val="20"/>
                <w:kern w:val="2"/>
                <w:sz w:val="15"/>
                <w:szCs w:val="15"/>
              </w:rPr>
              <w:t>物排</w:t>
            </w:r>
          </w:p>
          <w:p>
            <w:pPr>
              <w:spacing w:after="0"/>
              <w:jc w:val="center"/>
              <w:rPr>
                <w:rFonts w:hint="default" w:ascii="Times New Roman" w:hAnsi="Times New Roman" w:eastAsia="黑体" w:cs="Times New Roman"/>
                <w:b/>
                <w:color w:val="auto"/>
                <w:spacing w:val="20"/>
                <w:kern w:val="2"/>
                <w:sz w:val="15"/>
                <w:szCs w:val="15"/>
              </w:rPr>
            </w:pPr>
            <w:r>
              <w:rPr>
                <w:rFonts w:hint="default" w:ascii="Times New Roman" w:hAnsi="Times New Roman" w:eastAsia="黑体" w:cs="Times New Roman"/>
                <w:b/>
                <w:color w:val="auto"/>
                <w:spacing w:val="20"/>
                <w:kern w:val="2"/>
                <w:sz w:val="15"/>
                <w:szCs w:val="15"/>
              </w:rPr>
              <w:t>放达</w:t>
            </w:r>
          </w:p>
          <w:p>
            <w:pPr>
              <w:spacing w:after="0"/>
              <w:jc w:val="center"/>
              <w:rPr>
                <w:rFonts w:hint="default" w:ascii="Times New Roman" w:hAnsi="Times New Roman" w:eastAsia="黑体" w:cs="Times New Roman"/>
                <w:b/>
                <w:color w:val="auto"/>
                <w:spacing w:val="20"/>
                <w:kern w:val="2"/>
                <w:sz w:val="15"/>
                <w:szCs w:val="15"/>
              </w:rPr>
            </w:pPr>
            <w:r>
              <w:rPr>
                <w:rFonts w:hint="default" w:ascii="Times New Roman" w:hAnsi="Times New Roman" w:eastAsia="黑体" w:cs="Times New Roman"/>
                <w:b/>
                <w:color w:val="auto"/>
                <w:spacing w:val="20"/>
                <w:kern w:val="2"/>
                <w:sz w:val="15"/>
                <w:szCs w:val="15"/>
              </w:rPr>
              <w:t>标与</w:t>
            </w:r>
          </w:p>
          <w:p>
            <w:pPr>
              <w:spacing w:after="0"/>
              <w:jc w:val="center"/>
              <w:rPr>
                <w:rFonts w:hint="default" w:ascii="Times New Roman" w:hAnsi="Times New Roman" w:eastAsia="黑体" w:cs="Times New Roman"/>
                <w:b/>
                <w:color w:val="auto"/>
                <w:spacing w:val="20"/>
                <w:kern w:val="2"/>
                <w:sz w:val="15"/>
                <w:szCs w:val="15"/>
              </w:rPr>
            </w:pPr>
            <w:r>
              <w:rPr>
                <w:rFonts w:hint="default" w:ascii="Times New Roman" w:hAnsi="Times New Roman" w:eastAsia="黑体" w:cs="Times New Roman"/>
                <w:b/>
                <w:color w:val="auto"/>
                <w:spacing w:val="20"/>
                <w:kern w:val="2"/>
                <w:sz w:val="15"/>
                <w:szCs w:val="15"/>
              </w:rPr>
              <w:t>总量</w:t>
            </w:r>
          </w:p>
          <w:p>
            <w:pPr>
              <w:spacing w:after="0"/>
              <w:jc w:val="center"/>
              <w:rPr>
                <w:rFonts w:hint="default" w:ascii="Times New Roman" w:hAnsi="Times New Roman" w:eastAsia="黑体" w:cs="Times New Roman"/>
                <w:b/>
                <w:color w:val="auto"/>
                <w:spacing w:val="20"/>
                <w:kern w:val="2"/>
                <w:sz w:val="15"/>
                <w:szCs w:val="15"/>
              </w:rPr>
            </w:pPr>
            <w:r>
              <w:rPr>
                <w:rFonts w:hint="default" w:ascii="Times New Roman" w:hAnsi="Times New Roman" w:eastAsia="黑体" w:cs="Times New Roman"/>
                <w:b/>
                <w:color w:val="auto"/>
                <w:spacing w:val="20"/>
                <w:kern w:val="2"/>
                <w:sz w:val="15"/>
                <w:szCs w:val="15"/>
              </w:rPr>
              <w:t>控制（工</w:t>
            </w:r>
          </w:p>
          <w:p>
            <w:pPr>
              <w:spacing w:after="0"/>
              <w:jc w:val="center"/>
              <w:rPr>
                <w:rFonts w:hint="default" w:ascii="Times New Roman" w:hAnsi="Times New Roman" w:eastAsia="黑体" w:cs="Times New Roman"/>
                <w:b/>
                <w:color w:val="auto"/>
                <w:spacing w:val="20"/>
                <w:kern w:val="2"/>
                <w:sz w:val="15"/>
                <w:szCs w:val="15"/>
              </w:rPr>
            </w:pPr>
            <w:r>
              <w:rPr>
                <w:rFonts w:hint="default" w:ascii="Times New Roman" w:hAnsi="Times New Roman" w:eastAsia="黑体" w:cs="Times New Roman"/>
                <w:b/>
                <w:color w:val="auto"/>
                <w:spacing w:val="20"/>
                <w:kern w:val="2"/>
                <w:sz w:val="15"/>
                <w:szCs w:val="15"/>
              </w:rPr>
              <w:t>业建</w:t>
            </w:r>
          </w:p>
          <w:p>
            <w:pPr>
              <w:spacing w:after="0"/>
              <w:jc w:val="center"/>
              <w:rPr>
                <w:rFonts w:hint="default" w:ascii="Times New Roman" w:hAnsi="Times New Roman" w:eastAsia="黑体" w:cs="Times New Roman"/>
                <w:b/>
                <w:color w:val="auto"/>
                <w:spacing w:val="20"/>
                <w:kern w:val="2"/>
                <w:sz w:val="15"/>
                <w:szCs w:val="15"/>
              </w:rPr>
            </w:pPr>
            <w:r>
              <w:rPr>
                <w:rFonts w:hint="default" w:ascii="Times New Roman" w:hAnsi="Times New Roman" w:eastAsia="黑体" w:cs="Times New Roman"/>
                <w:b/>
                <w:color w:val="auto"/>
                <w:spacing w:val="20"/>
                <w:kern w:val="2"/>
                <w:sz w:val="15"/>
                <w:szCs w:val="15"/>
              </w:rPr>
              <w:t>设项</w:t>
            </w:r>
          </w:p>
          <w:p>
            <w:pPr>
              <w:spacing w:after="0"/>
              <w:jc w:val="center"/>
              <w:rPr>
                <w:rFonts w:hint="default" w:ascii="Times New Roman" w:hAnsi="Times New Roman" w:eastAsia="黑体" w:cs="Times New Roman"/>
                <w:b/>
                <w:color w:val="auto"/>
                <w:spacing w:val="20"/>
                <w:kern w:val="2"/>
                <w:sz w:val="15"/>
                <w:szCs w:val="15"/>
              </w:rPr>
            </w:pPr>
            <w:r>
              <w:rPr>
                <w:rFonts w:hint="default" w:ascii="Times New Roman" w:hAnsi="Times New Roman" w:eastAsia="黑体" w:cs="Times New Roman"/>
                <w:b/>
                <w:color w:val="auto"/>
                <w:spacing w:val="20"/>
                <w:kern w:val="2"/>
                <w:sz w:val="15"/>
                <w:szCs w:val="15"/>
              </w:rPr>
              <w:t>目详填）</w:t>
            </w:r>
          </w:p>
        </w:tc>
        <w:tc>
          <w:tcPr>
            <w:tcW w:w="1844" w:type="dxa"/>
            <w:gridSpan w:val="2"/>
            <w:vAlign w:val="center"/>
          </w:tcPr>
          <w:p>
            <w:pPr>
              <w:spacing w:after="0"/>
              <w:jc w:val="center"/>
              <w:rPr>
                <w:rFonts w:hint="default" w:ascii="Times New Roman" w:hAnsi="Times New Roman" w:cs="Times New Roman"/>
                <w:color w:val="auto"/>
                <w:kern w:val="2"/>
                <w:sz w:val="15"/>
                <w:szCs w:val="15"/>
                <w:highlight w:val="none"/>
              </w:rPr>
            </w:pPr>
            <w:r>
              <w:rPr>
                <w:rFonts w:hint="default" w:ascii="Times New Roman" w:hAnsi="Times New Roman" w:cs="Times New Roman"/>
                <w:b/>
                <w:color w:val="auto"/>
                <w:kern w:val="2"/>
                <w:sz w:val="15"/>
                <w:szCs w:val="15"/>
                <w:highlight w:val="none"/>
              </w:rPr>
              <w:t>污染物</w:t>
            </w:r>
          </w:p>
        </w:tc>
        <w:tc>
          <w:tcPr>
            <w:tcW w:w="850" w:type="dxa"/>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原有排</w:t>
            </w:r>
          </w:p>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放量(1)</w:t>
            </w:r>
          </w:p>
        </w:tc>
        <w:tc>
          <w:tcPr>
            <w:tcW w:w="1418" w:type="dxa"/>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本期工程实际排放浓度(2)</w:t>
            </w:r>
          </w:p>
        </w:tc>
        <w:tc>
          <w:tcPr>
            <w:tcW w:w="1127" w:type="dxa"/>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本期工程允许排放浓度(3)</w:t>
            </w:r>
          </w:p>
        </w:tc>
        <w:tc>
          <w:tcPr>
            <w:tcW w:w="1020" w:type="dxa"/>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本期工程产生量(4)</w:t>
            </w:r>
          </w:p>
        </w:tc>
        <w:tc>
          <w:tcPr>
            <w:tcW w:w="1128" w:type="dxa"/>
            <w:gridSpan w:val="2"/>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本期工程自身削减量(5)</w:t>
            </w:r>
          </w:p>
        </w:tc>
        <w:tc>
          <w:tcPr>
            <w:tcW w:w="1063" w:type="dxa"/>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本期工程实际排放量(6)</w:t>
            </w:r>
          </w:p>
        </w:tc>
        <w:tc>
          <w:tcPr>
            <w:tcW w:w="1050" w:type="dxa"/>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本期工程核定排放总量(7)</w:t>
            </w:r>
          </w:p>
        </w:tc>
        <w:tc>
          <w:tcPr>
            <w:tcW w:w="1995" w:type="dxa"/>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本期工程“以新带老”削减量(8)</w:t>
            </w:r>
          </w:p>
        </w:tc>
        <w:tc>
          <w:tcPr>
            <w:tcW w:w="1140" w:type="dxa"/>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全厂实际排放总量(9)</w:t>
            </w:r>
          </w:p>
        </w:tc>
        <w:tc>
          <w:tcPr>
            <w:tcW w:w="1116" w:type="dxa"/>
            <w:gridSpan w:val="2"/>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全厂核定排放总量(10)</w:t>
            </w:r>
          </w:p>
        </w:tc>
        <w:tc>
          <w:tcPr>
            <w:tcW w:w="1133" w:type="dxa"/>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区域平衡替代削减量(11)</w:t>
            </w:r>
          </w:p>
        </w:tc>
        <w:tc>
          <w:tcPr>
            <w:tcW w:w="813" w:type="dxa"/>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844" w:type="dxa"/>
            <w:gridSpan w:val="2"/>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eastAsia="黑体" w:cs="Times New Roman"/>
                <w:b/>
                <w:color w:val="auto"/>
                <w:kern w:val="2"/>
                <w:sz w:val="15"/>
                <w:szCs w:val="15"/>
              </w:rPr>
              <w:t>废水</w:t>
            </w:r>
          </w:p>
        </w:tc>
        <w:tc>
          <w:tcPr>
            <w:tcW w:w="850" w:type="dxa"/>
            <w:vAlign w:val="center"/>
          </w:tcPr>
          <w:p>
            <w:pPr>
              <w:spacing w:after="0"/>
              <w:jc w:val="center"/>
              <w:rPr>
                <w:rFonts w:hint="default" w:ascii="Times New Roman" w:hAnsi="Times New Roman" w:cs="Times New Roman"/>
                <w:color w:val="auto"/>
                <w:kern w:val="2"/>
                <w:sz w:val="15"/>
                <w:szCs w:val="15"/>
              </w:rPr>
            </w:pPr>
          </w:p>
        </w:tc>
        <w:tc>
          <w:tcPr>
            <w:tcW w:w="1418" w:type="dxa"/>
            <w:vAlign w:val="center"/>
          </w:tcPr>
          <w:p>
            <w:pPr>
              <w:spacing w:after="0"/>
              <w:jc w:val="center"/>
              <w:rPr>
                <w:rFonts w:hint="default" w:ascii="Times New Roman" w:hAnsi="Times New Roman" w:cs="Times New Roman"/>
                <w:color w:val="auto"/>
                <w:kern w:val="2"/>
                <w:sz w:val="15"/>
                <w:szCs w:val="15"/>
              </w:rPr>
            </w:pPr>
          </w:p>
        </w:tc>
        <w:tc>
          <w:tcPr>
            <w:tcW w:w="1127" w:type="dxa"/>
            <w:vAlign w:val="center"/>
          </w:tcPr>
          <w:p>
            <w:pPr>
              <w:spacing w:after="0"/>
              <w:jc w:val="center"/>
              <w:rPr>
                <w:rFonts w:hint="default" w:ascii="Times New Roman" w:hAnsi="Times New Roman" w:eastAsia="宋体" w:cs="Times New Roman"/>
                <w:color w:val="auto"/>
                <w:kern w:val="2"/>
                <w:sz w:val="15"/>
                <w:szCs w:val="15"/>
              </w:rPr>
            </w:pPr>
          </w:p>
        </w:tc>
        <w:tc>
          <w:tcPr>
            <w:tcW w:w="1020" w:type="dxa"/>
            <w:vAlign w:val="center"/>
          </w:tcPr>
          <w:p>
            <w:pPr>
              <w:spacing w:after="0"/>
              <w:jc w:val="center"/>
              <w:rPr>
                <w:rFonts w:hint="default" w:ascii="Times New Roman" w:hAnsi="Times New Roman" w:eastAsia="宋体" w:cs="Times New Roman"/>
                <w:color w:val="auto"/>
                <w:kern w:val="2"/>
                <w:sz w:val="15"/>
                <w:szCs w:val="15"/>
              </w:rPr>
            </w:pPr>
          </w:p>
        </w:tc>
        <w:tc>
          <w:tcPr>
            <w:tcW w:w="1128" w:type="dxa"/>
            <w:gridSpan w:val="2"/>
            <w:vAlign w:val="center"/>
          </w:tcPr>
          <w:p>
            <w:pPr>
              <w:spacing w:after="0"/>
              <w:jc w:val="center"/>
              <w:rPr>
                <w:rFonts w:hint="default" w:ascii="Times New Roman" w:hAnsi="Times New Roman" w:eastAsia="宋体" w:cs="Times New Roman"/>
                <w:color w:val="auto"/>
                <w:kern w:val="2"/>
                <w:sz w:val="15"/>
                <w:szCs w:val="15"/>
              </w:rPr>
            </w:pPr>
          </w:p>
        </w:tc>
        <w:tc>
          <w:tcPr>
            <w:tcW w:w="1063" w:type="dxa"/>
            <w:vAlign w:val="center"/>
          </w:tcPr>
          <w:p>
            <w:pPr>
              <w:spacing w:after="0"/>
              <w:jc w:val="center"/>
              <w:rPr>
                <w:rFonts w:hint="default" w:ascii="Times New Roman" w:hAnsi="Times New Roman" w:cs="Times New Roman"/>
                <w:color w:val="auto"/>
                <w:kern w:val="2"/>
                <w:sz w:val="15"/>
                <w:szCs w:val="15"/>
              </w:rPr>
            </w:pPr>
          </w:p>
        </w:tc>
        <w:tc>
          <w:tcPr>
            <w:tcW w:w="1050" w:type="dxa"/>
            <w:vAlign w:val="center"/>
          </w:tcPr>
          <w:p>
            <w:pPr>
              <w:spacing w:after="0"/>
              <w:jc w:val="center"/>
              <w:rPr>
                <w:rFonts w:hint="default" w:ascii="Times New Roman" w:hAnsi="Times New Roman" w:cs="Times New Roman"/>
                <w:color w:val="auto"/>
                <w:kern w:val="2"/>
                <w:sz w:val="15"/>
                <w:szCs w:val="15"/>
              </w:rPr>
            </w:pPr>
          </w:p>
        </w:tc>
        <w:tc>
          <w:tcPr>
            <w:tcW w:w="1995" w:type="dxa"/>
            <w:vAlign w:val="center"/>
          </w:tcPr>
          <w:p>
            <w:pPr>
              <w:spacing w:after="0"/>
              <w:jc w:val="center"/>
              <w:rPr>
                <w:rFonts w:hint="default" w:ascii="Times New Roman" w:hAnsi="Times New Roman" w:cs="Times New Roman"/>
                <w:color w:val="auto"/>
                <w:kern w:val="2"/>
                <w:sz w:val="15"/>
                <w:szCs w:val="15"/>
              </w:rPr>
            </w:pPr>
          </w:p>
        </w:tc>
        <w:tc>
          <w:tcPr>
            <w:tcW w:w="1140" w:type="dxa"/>
            <w:vAlign w:val="center"/>
          </w:tcPr>
          <w:p>
            <w:pPr>
              <w:spacing w:after="0"/>
              <w:jc w:val="center"/>
              <w:rPr>
                <w:rFonts w:hint="default" w:ascii="Times New Roman" w:hAnsi="Times New Roman" w:cs="Times New Roman"/>
                <w:color w:val="auto"/>
                <w:kern w:val="2"/>
                <w:sz w:val="15"/>
                <w:szCs w:val="15"/>
              </w:rPr>
            </w:pPr>
          </w:p>
        </w:tc>
        <w:tc>
          <w:tcPr>
            <w:tcW w:w="1116" w:type="dxa"/>
            <w:gridSpan w:val="2"/>
            <w:vAlign w:val="center"/>
          </w:tcPr>
          <w:p>
            <w:pPr>
              <w:spacing w:after="0"/>
              <w:jc w:val="center"/>
              <w:rPr>
                <w:rFonts w:hint="default" w:ascii="Times New Roman" w:hAnsi="Times New Roman" w:cs="Times New Roman"/>
                <w:color w:val="auto"/>
                <w:kern w:val="2"/>
                <w:sz w:val="15"/>
                <w:szCs w:val="15"/>
              </w:rPr>
            </w:pPr>
          </w:p>
        </w:tc>
        <w:tc>
          <w:tcPr>
            <w:tcW w:w="1133" w:type="dxa"/>
            <w:vAlign w:val="center"/>
          </w:tcPr>
          <w:p>
            <w:pPr>
              <w:spacing w:after="0"/>
              <w:jc w:val="center"/>
              <w:rPr>
                <w:rFonts w:hint="default" w:ascii="Times New Roman" w:hAnsi="Times New Roman" w:cs="Times New Roman"/>
                <w:color w:val="auto"/>
                <w:kern w:val="2"/>
                <w:sz w:val="15"/>
                <w:szCs w:val="15"/>
              </w:rPr>
            </w:pPr>
          </w:p>
        </w:tc>
        <w:tc>
          <w:tcPr>
            <w:tcW w:w="813" w:type="dxa"/>
            <w:vAlign w:val="center"/>
          </w:tcPr>
          <w:p>
            <w:pPr>
              <w:spacing w:after="0"/>
              <w:jc w:val="center"/>
              <w:rPr>
                <w:rFonts w:hint="default" w:ascii="Times New Roman" w:hAnsi="Times New Roman" w:cs="Times New Roman"/>
                <w:color w:val="auto"/>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844"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化学需氧量</w:t>
            </w:r>
          </w:p>
        </w:tc>
        <w:tc>
          <w:tcPr>
            <w:tcW w:w="850" w:type="dxa"/>
            <w:vAlign w:val="center"/>
          </w:tcPr>
          <w:p>
            <w:pPr>
              <w:spacing w:after="0"/>
              <w:jc w:val="center"/>
              <w:rPr>
                <w:rFonts w:hint="default" w:ascii="Times New Roman" w:hAnsi="Times New Roman" w:cs="Times New Roman"/>
                <w:color w:val="auto"/>
                <w:kern w:val="2"/>
                <w:sz w:val="15"/>
                <w:szCs w:val="15"/>
              </w:rPr>
            </w:pPr>
          </w:p>
        </w:tc>
        <w:tc>
          <w:tcPr>
            <w:tcW w:w="1418" w:type="dxa"/>
            <w:vAlign w:val="center"/>
          </w:tcPr>
          <w:p>
            <w:pPr>
              <w:spacing w:after="0"/>
              <w:jc w:val="center"/>
              <w:rPr>
                <w:rFonts w:hint="default" w:ascii="Times New Roman" w:hAnsi="Times New Roman" w:cs="Times New Roman"/>
                <w:color w:val="auto"/>
                <w:kern w:val="2"/>
                <w:sz w:val="15"/>
                <w:szCs w:val="15"/>
              </w:rPr>
            </w:pPr>
          </w:p>
        </w:tc>
        <w:tc>
          <w:tcPr>
            <w:tcW w:w="1127" w:type="dxa"/>
            <w:vAlign w:val="center"/>
          </w:tcPr>
          <w:p>
            <w:pPr>
              <w:spacing w:after="0"/>
              <w:jc w:val="center"/>
              <w:rPr>
                <w:rFonts w:hint="default" w:ascii="Times New Roman" w:hAnsi="Times New Roman" w:cs="Times New Roman"/>
                <w:color w:val="auto"/>
                <w:kern w:val="2"/>
                <w:sz w:val="15"/>
                <w:szCs w:val="15"/>
              </w:rPr>
            </w:pPr>
          </w:p>
        </w:tc>
        <w:tc>
          <w:tcPr>
            <w:tcW w:w="1020" w:type="dxa"/>
            <w:vAlign w:val="center"/>
          </w:tcPr>
          <w:p>
            <w:pPr>
              <w:spacing w:after="0"/>
              <w:jc w:val="center"/>
              <w:rPr>
                <w:rFonts w:hint="default" w:ascii="Times New Roman" w:hAnsi="Times New Roman" w:eastAsia="宋体" w:cs="Times New Roman"/>
                <w:color w:val="auto"/>
                <w:kern w:val="2"/>
                <w:sz w:val="15"/>
                <w:szCs w:val="15"/>
              </w:rPr>
            </w:pPr>
          </w:p>
        </w:tc>
        <w:tc>
          <w:tcPr>
            <w:tcW w:w="1128" w:type="dxa"/>
            <w:gridSpan w:val="2"/>
            <w:vAlign w:val="center"/>
          </w:tcPr>
          <w:p>
            <w:pPr>
              <w:spacing w:after="0"/>
              <w:jc w:val="center"/>
              <w:rPr>
                <w:rFonts w:hint="default" w:ascii="Times New Roman" w:hAnsi="Times New Roman" w:eastAsia="宋体" w:cs="Times New Roman"/>
                <w:color w:val="auto"/>
                <w:kern w:val="2"/>
                <w:sz w:val="15"/>
                <w:szCs w:val="15"/>
              </w:rPr>
            </w:pPr>
          </w:p>
        </w:tc>
        <w:tc>
          <w:tcPr>
            <w:tcW w:w="1063" w:type="dxa"/>
            <w:vAlign w:val="center"/>
          </w:tcPr>
          <w:p>
            <w:pPr>
              <w:spacing w:after="0"/>
              <w:jc w:val="center"/>
              <w:rPr>
                <w:rFonts w:hint="default" w:ascii="Times New Roman" w:hAnsi="Times New Roman" w:cs="Times New Roman"/>
                <w:color w:val="auto"/>
                <w:kern w:val="2"/>
                <w:sz w:val="15"/>
                <w:szCs w:val="15"/>
              </w:rPr>
            </w:pPr>
          </w:p>
        </w:tc>
        <w:tc>
          <w:tcPr>
            <w:tcW w:w="1050" w:type="dxa"/>
            <w:vAlign w:val="center"/>
          </w:tcPr>
          <w:p>
            <w:pPr>
              <w:spacing w:after="0"/>
              <w:jc w:val="center"/>
              <w:rPr>
                <w:rFonts w:hint="default" w:ascii="Times New Roman" w:hAnsi="Times New Roman" w:cs="Times New Roman"/>
                <w:color w:val="auto"/>
                <w:kern w:val="2"/>
                <w:sz w:val="15"/>
                <w:szCs w:val="15"/>
              </w:rPr>
            </w:pPr>
          </w:p>
        </w:tc>
        <w:tc>
          <w:tcPr>
            <w:tcW w:w="1995" w:type="dxa"/>
            <w:vAlign w:val="center"/>
          </w:tcPr>
          <w:p>
            <w:pPr>
              <w:spacing w:after="0"/>
              <w:jc w:val="center"/>
              <w:rPr>
                <w:rFonts w:hint="default" w:ascii="Times New Roman" w:hAnsi="Times New Roman" w:cs="Times New Roman"/>
                <w:color w:val="auto"/>
                <w:kern w:val="2"/>
                <w:sz w:val="15"/>
                <w:szCs w:val="15"/>
              </w:rPr>
            </w:pPr>
          </w:p>
        </w:tc>
        <w:tc>
          <w:tcPr>
            <w:tcW w:w="1140" w:type="dxa"/>
            <w:vAlign w:val="center"/>
          </w:tcPr>
          <w:p>
            <w:pPr>
              <w:spacing w:after="0"/>
              <w:jc w:val="center"/>
              <w:rPr>
                <w:rFonts w:hint="default" w:ascii="Times New Roman" w:hAnsi="Times New Roman" w:cs="Times New Roman"/>
                <w:color w:val="auto"/>
                <w:kern w:val="2"/>
                <w:sz w:val="15"/>
                <w:szCs w:val="15"/>
              </w:rPr>
            </w:pPr>
          </w:p>
        </w:tc>
        <w:tc>
          <w:tcPr>
            <w:tcW w:w="1116" w:type="dxa"/>
            <w:gridSpan w:val="2"/>
            <w:vAlign w:val="center"/>
          </w:tcPr>
          <w:p>
            <w:pPr>
              <w:spacing w:after="0"/>
              <w:jc w:val="center"/>
              <w:rPr>
                <w:rFonts w:hint="default" w:ascii="Times New Roman" w:hAnsi="Times New Roman" w:cs="Times New Roman"/>
                <w:color w:val="auto"/>
                <w:kern w:val="2"/>
                <w:sz w:val="15"/>
                <w:szCs w:val="15"/>
              </w:rPr>
            </w:pPr>
          </w:p>
        </w:tc>
        <w:tc>
          <w:tcPr>
            <w:tcW w:w="1133" w:type="dxa"/>
            <w:vAlign w:val="center"/>
          </w:tcPr>
          <w:p>
            <w:pPr>
              <w:spacing w:after="0"/>
              <w:jc w:val="center"/>
              <w:rPr>
                <w:rFonts w:hint="default" w:ascii="Times New Roman" w:hAnsi="Times New Roman" w:cs="Times New Roman"/>
                <w:color w:val="auto"/>
                <w:kern w:val="2"/>
                <w:sz w:val="15"/>
                <w:szCs w:val="15"/>
              </w:rPr>
            </w:pPr>
          </w:p>
        </w:tc>
        <w:tc>
          <w:tcPr>
            <w:tcW w:w="813" w:type="dxa"/>
            <w:vAlign w:val="center"/>
          </w:tcPr>
          <w:p>
            <w:pPr>
              <w:spacing w:after="0"/>
              <w:jc w:val="center"/>
              <w:rPr>
                <w:rFonts w:hint="default" w:ascii="Times New Roman" w:hAnsi="Times New Roman" w:cs="Times New Roman"/>
                <w:color w:val="auto"/>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844"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氨氮</w:t>
            </w:r>
          </w:p>
        </w:tc>
        <w:tc>
          <w:tcPr>
            <w:tcW w:w="850" w:type="dxa"/>
            <w:vAlign w:val="center"/>
          </w:tcPr>
          <w:p>
            <w:pPr>
              <w:spacing w:after="0"/>
              <w:jc w:val="center"/>
              <w:rPr>
                <w:rFonts w:hint="default" w:ascii="Times New Roman" w:hAnsi="Times New Roman" w:cs="Times New Roman"/>
                <w:color w:val="auto"/>
                <w:kern w:val="2"/>
                <w:sz w:val="15"/>
                <w:szCs w:val="15"/>
              </w:rPr>
            </w:pPr>
          </w:p>
        </w:tc>
        <w:tc>
          <w:tcPr>
            <w:tcW w:w="1418" w:type="dxa"/>
            <w:vAlign w:val="center"/>
          </w:tcPr>
          <w:p>
            <w:pPr>
              <w:spacing w:after="0"/>
              <w:jc w:val="center"/>
              <w:rPr>
                <w:rFonts w:hint="default" w:ascii="Times New Roman" w:hAnsi="Times New Roman" w:cs="Times New Roman"/>
                <w:color w:val="auto"/>
                <w:kern w:val="2"/>
                <w:sz w:val="15"/>
                <w:szCs w:val="15"/>
              </w:rPr>
            </w:pPr>
          </w:p>
        </w:tc>
        <w:tc>
          <w:tcPr>
            <w:tcW w:w="1127" w:type="dxa"/>
            <w:vAlign w:val="center"/>
          </w:tcPr>
          <w:p>
            <w:pPr>
              <w:spacing w:after="0"/>
              <w:jc w:val="center"/>
              <w:rPr>
                <w:rFonts w:hint="default" w:ascii="Times New Roman" w:hAnsi="Times New Roman" w:cs="Times New Roman"/>
                <w:color w:val="auto"/>
                <w:kern w:val="2"/>
                <w:sz w:val="15"/>
                <w:szCs w:val="15"/>
              </w:rPr>
            </w:pPr>
          </w:p>
        </w:tc>
        <w:tc>
          <w:tcPr>
            <w:tcW w:w="1020" w:type="dxa"/>
            <w:vAlign w:val="center"/>
          </w:tcPr>
          <w:p>
            <w:pPr>
              <w:spacing w:after="0"/>
              <w:jc w:val="center"/>
              <w:rPr>
                <w:rFonts w:hint="default" w:ascii="Times New Roman" w:hAnsi="Times New Roman" w:eastAsia="宋体" w:cs="Times New Roman"/>
                <w:color w:val="auto"/>
                <w:kern w:val="2"/>
                <w:sz w:val="15"/>
                <w:szCs w:val="15"/>
              </w:rPr>
            </w:pPr>
          </w:p>
        </w:tc>
        <w:tc>
          <w:tcPr>
            <w:tcW w:w="1128" w:type="dxa"/>
            <w:gridSpan w:val="2"/>
            <w:vAlign w:val="center"/>
          </w:tcPr>
          <w:p>
            <w:pPr>
              <w:spacing w:after="0"/>
              <w:jc w:val="center"/>
              <w:rPr>
                <w:rFonts w:hint="default" w:ascii="Times New Roman" w:hAnsi="Times New Roman" w:eastAsia="宋体" w:cs="Times New Roman"/>
                <w:color w:val="auto"/>
                <w:kern w:val="2"/>
                <w:sz w:val="15"/>
                <w:szCs w:val="15"/>
              </w:rPr>
            </w:pPr>
          </w:p>
        </w:tc>
        <w:tc>
          <w:tcPr>
            <w:tcW w:w="1063" w:type="dxa"/>
            <w:vAlign w:val="center"/>
          </w:tcPr>
          <w:p>
            <w:pPr>
              <w:spacing w:after="0"/>
              <w:jc w:val="center"/>
              <w:rPr>
                <w:rFonts w:hint="default" w:ascii="Times New Roman" w:hAnsi="Times New Roman" w:cs="Times New Roman"/>
                <w:color w:val="auto"/>
                <w:kern w:val="2"/>
                <w:sz w:val="15"/>
                <w:szCs w:val="15"/>
              </w:rPr>
            </w:pPr>
          </w:p>
        </w:tc>
        <w:tc>
          <w:tcPr>
            <w:tcW w:w="1050" w:type="dxa"/>
            <w:vAlign w:val="center"/>
          </w:tcPr>
          <w:p>
            <w:pPr>
              <w:spacing w:after="0"/>
              <w:jc w:val="center"/>
              <w:rPr>
                <w:rFonts w:hint="default" w:ascii="Times New Roman" w:hAnsi="Times New Roman" w:cs="Times New Roman"/>
                <w:color w:val="auto"/>
                <w:kern w:val="2"/>
                <w:sz w:val="15"/>
                <w:szCs w:val="15"/>
              </w:rPr>
            </w:pPr>
          </w:p>
        </w:tc>
        <w:tc>
          <w:tcPr>
            <w:tcW w:w="1995" w:type="dxa"/>
            <w:vAlign w:val="center"/>
          </w:tcPr>
          <w:p>
            <w:pPr>
              <w:spacing w:after="0"/>
              <w:jc w:val="center"/>
              <w:rPr>
                <w:rFonts w:hint="default" w:ascii="Times New Roman" w:hAnsi="Times New Roman" w:cs="Times New Roman"/>
                <w:color w:val="auto"/>
                <w:kern w:val="2"/>
                <w:sz w:val="15"/>
                <w:szCs w:val="15"/>
              </w:rPr>
            </w:pPr>
          </w:p>
        </w:tc>
        <w:tc>
          <w:tcPr>
            <w:tcW w:w="1140" w:type="dxa"/>
            <w:vAlign w:val="center"/>
          </w:tcPr>
          <w:p>
            <w:pPr>
              <w:spacing w:after="0"/>
              <w:jc w:val="center"/>
              <w:rPr>
                <w:rFonts w:hint="default" w:ascii="Times New Roman" w:hAnsi="Times New Roman" w:cs="Times New Roman"/>
                <w:color w:val="auto"/>
                <w:kern w:val="2"/>
                <w:sz w:val="15"/>
                <w:szCs w:val="15"/>
              </w:rPr>
            </w:pPr>
          </w:p>
        </w:tc>
        <w:tc>
          <w:tcPr>
            <w:tcW w:w="1116" w:type="dxa"/>
            <w:gridSpan w:val="2"/>
            <w:vAlign w:val="center"/>
          </w:tcPr>
          <w:p>
            <w:pPr>
              <w:spacing w:after="0"/>
              <w:jc w:val="center"/>
              <w:rPr>
                <w:rFonts w:hint="default" w:ascii="Times New Roman" w:hAnsi="Times New Roman" w:cs="Times New Roman"/>
                <w:color w:val="auto"/>
                <w:kern w:val="2"/>
                <w:sz w:val="15"/>
                <w:szCs w:val="15"/>
              </w:rPr>
            </w:pPr>
          </w:p>
        </w:tc>
        <w:tc>
          <w:tcPr>
            <w:tcW w:w="1133" w:type="dxa"/>
            <w:vAlign w:val="center"/>
          </w:tcPr>
          <w:p>
            <w:pPr>
              <w:spacing w:after="0"/>
              <w:jc w:val="center"/>
              <w:rPr>
                <w:rFonts w:hint="default" w:ascii="Times New Roman" w:hAnsi="Times New Roman" w:cs="Times New Roman"/>
                <w:color w:val="auto"/>
                <w:kern w:val="2"/>
                <w:sz w:val="15"/>
                <w:szCs w:val="15"/>
              </w:rPr>
            </w:pPr>
          </w:p>
        </w:tc>
        <w:tc>
          <w:tcPr>
            <w:tcW w:w="813" w:type="dxa"/>
            <w:vAlign w:val="center"/>
          </w:tcPr>
          <w:p>
            <w:pPr>
              <w:spacing w:after="0"/>
              <w:jc w:val="center"/>
              <w:rPr>
                <w:rFonts w:hint="default" w:ascii="Times New Roman" w:hAnsi="Times New Roman" w:cs="Times New Roman"/>
                <w:color w:val="auto"/>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844"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石油类</w:t>
            </w:r>
          </w:p>
        </w:tc>
        <w:tc>
          <w:tcPr>
            <w:tcW w:w="850" w:type="dxa"/>
            <w:vAlign w:val="center"/>
          </w:tcPr>
          <w:p>
            <w:pPr>
              <w:spacing w:after="0"/>
              <w:jc w:val="center"/>
              <w:rPr>
                <w:rFonts w:hint="default" w:ascii="Times New Roman" w:hAnsi="Times New Roman" w:cs="Times New Roman"/>
                <w:color w:val="auto"/>
                <w:kern w:val="2"/>
                <w:sz w:val="15"/>
                <w:szCs w:val="15"/>
              </w:rPr>
            </w:pPr>
          </w:p>
        </w:tc>
        <w:tc>
          <w:tcPr>
            <w:tcW w:w="1418" w:type="dxa"/>
            <w:vAlign w:val="center"/>
          </w:tcPr>
          <w:p>
            <w:pPr>
              <w:spacing w:after="0"/>
              <w:jc w:val="center"/>
              <w:rPr>
                <w:rFonts w:hint="default" w:ascii="Times New Roman" w:hAnsi="Times New Roman" w:cs="Times New Roman"/>
                <w:color w:val="auto"/>
                <w:kern w:val="2"/>
                <w:sz w:val="15"/>
                <w:szCs w:val="15"/>
              </w:rPr>
            </w:pPr>
          </w:p>
        </w:tc>
        <w:tc>
          <w:tcPr>
            <w:tcW w:w="1127" w:type="dxa"/>
            <w:vAlign w:val="center"/>
          </w:tcPr>
          <w:p>
            <w:pPr>
              <w:spacing w:after="0"/>
              <w:jc w:val="center"/>
              <w:rPr>
                <w:rFonts w:hint="default" w:ascii="Times New Roman" w:hAnsi="Times New Roman" w:cs="Times New Roman"/>
                <w:color w:val="auto"/>
                <w:kern w:val="2"/>
                <w:sz w:val="15"/>
                <w:szCs w:val="15"/>
              </w:rPr>
            </w:pPr>
          </w:p>
        </w:tc>
        <w:tc>
          <w:tcPr>
            <w:tcW w:w="1020" w:type="dxa"/>
            <w:vAlign w:val="center"/>
          </w:tcPr>
          <w:p>
            <w:pPr>
              <w:spacing w:after="0"/>
              <w:jc w:val="center"/>
              <w:rPr>
                <w:rFonts w:hint="default" w:ascii="Times New Roman" w:hAnsi="Times New Roman" w:cs="Times New Roman"/>
                <w:color w:val="auto"/>
                <w:kern w:val="2"/>
                <w:sz w:val="15"/>
                <w:szCs w:val="15"/>
              </w:rPr>
            </w:pPr>
          </w:p>
        </w:tc>
        <w:tc>
          <w:tcPr>
            <w:tcW w:w="1128" w:type="dxa"/>
            <w:gridSpan w:val="2"/>
            <w:vAlign w:val="center"/>
          </w:tcPr>
          <w:p>
            <w:pPr>
              <w:spacing w:after="0"/>
              <w:jc w:val="center"/>
              <w:rPr>
                <w:rFonts w:hint="default" w:ascii="Times New Roman" w:hAnsi="Times New Roman" w:cs="Times New Roman"/>
                <w:color w:val="auto"/>
                <w:kern w:val="2"/>
                <w:sz w:val="15"/>
                <w:szCs w:val="15"/>
              </w:rPr>
            </w:pPr>
          </w:p>
        </w:tc>
        <w:tc>
          <w:tcPr>
            <w:tcW w:w="1063" w:type="dxa"/>
            <w:vAlign w:val="center"/>
          </w:tcPr>
          <w:p>
            <w:pPr>
              <w:spacing w:after="0"/>
              <w:jc w:val="center"/>
              <w:rPr>
                <w:rFonts w:hint="default" w:ascii="Times New Roman" w:hAnsi="Times New Roman" w:cs="Times New Roman"/>
                <w:color w:val="auto"/>
                <w:kern w:val="2"/>
                <w:sz w:val="15"/>
                <w:szCs w:val="15"/>
              </w:rPr>
            </w:pPr>
          </w:p>
        </w:tc>
        <w:tc>
          <w:tcPr>
            <w:tcW w:w="1050" w:type="dxa"/>
            <w:vAlign w:val="center"/>
          </w:tcPr>
          <w:p>
            <w:pPr>
              <w:spacing w:after="0"/>
              <w:jc w:val="center"/>
              <w:rPr>
                <w:rFonts w:hint="default" w:ascii="Times New Roman" w:hAnsi="Times New Roman" w:cs="Times New Roman"/>
                <w:color w:val="auto"/>
                <w:kern w:val="2"/>
                <w:sz w:val="15"/>
                <w:szCs w:val="15"/>
              </w:rPr>
            </w:pPr>
          </w:p>
        </w:tc>
        <w:tc>
          <w:tcPr>
            <w:tcW w:w="1995" w:type="dxa"/>
            <w:vAlign w:val="center"/>
          </w:tcPr>
          <w:p>
            <w:pPr>
              <w:spacing w:after="0"/>
              <w:jc w:val="center"/>
              <w:rPr>
                <w:rFonts w:hint="default" w:ascii="Times New Roman" w:hAnsi="Times New Roman" w:cs="Times New Roman"/>
                <w:color w:val="auto"/>
                <w:kern w:val="2"/>
                <w:sz w:val="15"/>
                <w:szCs w:val="15"/>
              </w:rPr>
            </w:pPr>
          </w:p>
        </w:tc>
        <w:tc>
          <w:tcPr>
            <w:tcW w:w="1140" w:type="dxa"/>
            <w:vAlign w:val="center"/>
          </w:tcPr>
          <w:p>
            <w:pPr>
              <w:spacing w:after="0"/>
              <w:jc w:val="center"/>
              <w:rPr>
                <w:rFonts w:hint="default" w:ascii="Times New Roman" w:hAnsi="Times New Roman" w:cs="Times New Roman"/>
                <w:color w:val="auto"/>
                <w:kern w:val="2"/>
                <w:sz w:val="15"/>
                <w:szCs w:val="15"/>
              </w:rPr>
            </w:pPr>
          </w:p>
        </w:tc>
        <w:tc>
          <w:tcPr>
            <w:tcW w:w="1116" w:type="dxa"/>
            <w:gridSpan w:val="2"/>
            <w:vAlign w:val="center"/>
          </w:tcPr>
          <w:p>
            <w:pPr>
              <w:spacing w:after="0"/>
              <w:jc w:val="center"/>
              <w:rPr>
                <w:rFonts w:hint="default" w:ascii="Times New Roman" w:hAnsi="Times New Roman" w:cs="Times New Roman"/>
                <w:color w:val="auto"/>
                <w:kern w:val="2"/>
                <w:sz w:val="15"/>
                <w:szCs w:val="15"/>
              </w:rPr>
            </w:pPr>
          </w:p>
        </w:tc>
        <w:tc>
          <w:tcPr>
            <w:tcW w:w="1133" w:type="dxa"/>
            <w:vAlign w:val="center"/>
          </w:tcPr>
          <w:p>
            <w:pPr>
              <w:spacing w:after="0"/>
              <w:jc w:val="center"/>
              <w:rPr>
                <w:rFonts w:hint="default" w:ascii="Times New Roman" w:hAnsi="Times New Roman" w:cs="Times New Roman"/>
                <w:color w:val="auto"/>
                <w:kern w:val="2"/>
                <w:sz w:val="15"/>
                <w:szCs w:val="15"/>
              </w:rPr>
            </w:pPr>
          </w:p>
        </w:tc>
        <w:tc>
          <w:tcPr>
            <w:tcW w:w="813" w:type="dxa"/>
            <w:vAlign w:val="center"/>
          </w:tcPr>
          <w:p>
            <w:pPr>
              <w:spacing w:after="0"/>
              <w:jc w:val="center"/>
              <w:rPr>
                <w:rFonts w:hint="default" w:ascii="Times New Roman" w:hAnsi="Times New Roman" w:cs="Times New Roman"/>
                <w:color w:val="auto"/>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844" w:type="dxa"/>
            <w:gridSpan w:val="2"/>
            <w:vAlign w:val="center"/>
          </w:tcPr>
          <w:p>
            <w:pPr>
              <w:spacing w:after="0"/>
              <w:jc w:val="center"/>
              <w:rPr>
                <w:rFonts w:hint="default" w:ascii="Times New Roman" w:hAnsi="Times New Roman" w:eastAsia="黑体" w:cs="Times New Roman"/>
                <w:b/>
                <w:color w:val="auto"/>
                <w:kern w:val="2"/>
                <w:sz w:val="15"/>
                <w:szCs w:val="15"/>
              </w:rPr>
            </w:pPr>
            <w:r>
              <w:rPr>
                <w:rFonts w:hint="default" w:ascii="Times New Roman" w:hAnsi="Times New Roman" w:eastAsia="黑体" w:cs="Times New Roman"/>
                <w:b/>
                <w:color w:val="auto"/>
                <w:kern w:val="2"/>
                <w:sz w:val="15"/>
                <w:szCs w:val="15"/>
              </w:rPr>
              <w:t>废气</w:t>
            </w:r>
          </w:p>
        </w:tc>
        <w:tc>
          <w:tcPr>
            <w:tcW w:w="850" w:type="dxa"/>
            <w:vAlign w:val="center"/>
          </w:tcPr>
          <w:p>
            <w:pPr>
              <w:spacing w:after="0"/>
              <w:jc w:val="center"/>
              <w:rPr>
                <w:rFonts w:hint="default" w:ascii="Times New Roman" w:hAnsi="Times New Roman" w:cs="Times New Roman"/>
                <w:color w:val="auto"/>
                <w:kern w:val="2"/>
                <w:sz w:val="15"/>
                <w:szCs w:val="15"/>
              </w:rPr>
            </w:pPr>
          </w:p>
        </w:tc>
        <w:tc>
          <w:tcPr>
            <w:tcW w:w="1418" w:type="dxa"/>
            <w:vAlign w:val="center"/>
          </w:tcPr>
          <w:p>
            <w:pPr>
              <w:spacing w:after="0"/>
              <w:jc w:val="center"/>
              <w:rPr>
                <w:rFonts w:hint="default" w:ascii="Times New Roman" w:hAnsi="Times New Roman" w:cs="Times New Roman"/>
                <w:color w:val="auto"/>
                <w:kern w:val="2"/>
                <w:sz w:val="15"/>
                <w:szCs w:val="15"/>
              </w:rPr>
            </w:pPr>
          </w:p>
        </w:tc>
        <w:tc>
          <w:tcPr>
            <w:tcW w:w="1127" w:type="dxa"/>
            <w:vAlign w:val="center"/>
          </w:tcPr>
          <w:p>
            <w:pPr>
              <w:spacing w:after="0"/>
              <w:jc w:val="center"/>
              <w:rPr>
                <w:rFonts w:hint="default" w:ascii="Times New Roman" w:hAnsi="Times New Roman" w:cs="Times New Roman"/>
                <w:color w:val="auto"/>
                <w:kern w:val="2"/>
                <w:sz w:val="15"/>
                <w:szCs w:val="15"/>
              </w:rPr>
            </w:pPr>
          </w:p>
        </w:tc>
        <w:tc>
          <w:tcPr>
            <w:tcW w:w="1020" w:type="dxa"/>
            <w:vAlign w:val="center"/>
          </w:tcPr>
          <w:p>
            <w:pPr>
              <w:spacing w:after="0"/>
              <w:jc w:val="center"/>
              <w:rPr>
                <w:rFonts w:hint="default" w:ascii="Times New Roman" w:hAnsi="Times New Roman" w:cs="Times New Roman"/>
                <w:color w:val="auto"/>
                <w:kern w:val="2"/>
                <w:sz w:val="15"/>
                <w:szCs w:val="15"/>
              </w:rPr>
            </w:pPr>
          </w:p>
        </w:tc>
        <w:tc>
          <w:tcPr>
            <w:tcW w:w="1128" w:type="dxa"/>
            <w:gridSpan w:val="2"/>
            <w:vAlign w:val="center"/>
          </w:tcPr>
          <w:p>
            <w:pPr>
              <w:spacing w:after="0"/>
              <w:jc w:val="center"/>
              <w:rPr>
                <w:rFonts w:hint="default" w:ascii="Times New Roman" w:hAnsi="Times New Roman" w:cs="Times New Roman"/>
                <w:color w:val="auto"/>
                <w:kern w:val="2"/>
                <w:sz w:val="15"/>
                <w:szCs w:val="15"/>
              </w:rPr>
            </w:pPr>
          </w:p>
        </w:tc>
        <w:tc>
          <w:tcPr>
            <w:tcW w:w="1063" w:type="dxa"/>
            <w:vAlign w:val="center"/>
          </w:tcPr>
          <w:p>
            <w:pPr>
              <w:spacing w:after="0"/>
              <w:jc w:val="center"/>
              <w:rPr>
                <w:rFonts w:hint="default" w:ascii="Times New Roman" w:hAnsi="Times New Roman" w:eastAsia="微软雅黑" w:cs="Times New Roman"/>
                <w:color w:val="auto"/>
                <w:kern w:val="2"/>
                <w:sz w:val="15"/>
                <w:szCs w:val="15"/>
                <w:vertAlign w:val="baseline"/>
                <w:lang w:val="en-US" w:eastAsia="zh-CN"/>
              </w:rPr>
            </w:pPr>
          </w:p>
        </w:tc>
        <w:tc>
          <w:tcPr>
            <w:tcW w:w="1050" w:type="dxa"/>
            <w:vAlign w:val="center"/>
          </w:tcPr>
          <w:p>
            <w:pPr>
              <w:spacing w:after="0"/>
              <w:jc w:val="center"/>
              <w:rPr>
                <w:rFonts w:hint="default" w:ascii="Times New Roman" w:hAnsi="Times New Roman" w:cs="Times New Roman"/>
                <w:color w:val="auto"/>
                <w:kern w:val="2"/>
                <w:sz w:val="15"/>
                <w:szCs w:val="15"/>
              </w:rPr>
            </w:pPr>
          </w:p>
        </w:tc>
        <w:tc>
          <w:tcPr>
            <w:tcW w:w="1995" w:type="dxa"/>
            <w:vAlign w:val="center"/>
          </w:tcPr>
          <w:p>
            <w:pPr>
              <w:spacing w:after="0"/>
              <w:jc w:val="center"/>
              <w:rPr>
                <w:rFonts w:hint="default" w:ascii="Times New Roman" w:hAnsi="Times New Roman" w:cs="Times New Roman"/>
                <w:color w:val="auto"/>
                <w:kern w:val="2"/>
                <w:sz w:val="15"/>
                <w:szCs w:val="15"/>
              </w:rPr>
            </w:pPr>
          </w:p>
        </w:tc>
        <w:tc>
          <w:tcPr>
            <w:tcW w:w="1140" w:type="dxa"/>
            <w:vAlign w:val="center"/>
          </w:tcPr>
          <w:p>
            <w:pPr>
              <w:spacing w:after="0"/>
              <w:jc w:val="center"/>
              <w:rPr>
                <w:rFonts w:hint="default" w:ascii="Times New Roman" w:hAnsi="Times New Roman" w:cs="Times New Roman"/>
                <w:color w:val="auto"/>
                <w:kern w:val="2"/>
                <w:sz w:val="15"/>
                <w:szCs w:val="15"/>
              </w:rPr>
            </w:pPr>
          </w:p>
        </w:tc>
        <w:tc>
          <w:tcPr>
            <w:tcW w:w="1116" w:type="dxa"/>
            <w:gridSpan w:val="2"/>
            <w:vAlign w:val="center"/>
          </w:tcPr>
          <w:p>
            <w:pPr>
              <w:spacing w:after="0"/>
              <w:jc w:val="center"/>
              <w:rPr>
                <w:rFonts w:hint="default" w:ascii="Times New Roman" w:hAnsi="Times New Roman" w:cs="Times New Roman"/>
                <w:color w:val="auto"/>
                <w:kern w:val="2"/>
                <w:sz w:val="15"/>
                <w:szCs w:val="15"/>
              </w:rPr>
            </w:pPr>
          </w:p>
        </w:tc>
        <w:tc>
          <w:tcPr>
            <w:tcW w:w="1133" w:type="dxa"/>
            <w:vAlign w:val="center"/>
          </w:tcPr>
          <w:p>
            <w:pPr>
              <w:spacing w:after="0"/>
              <w:jc w:val="center"/>
              <w:rPr>
                <w:rFonts w:hint="default" w:ascii="Times New Roman" w:hAnsi="Times New Roman" w:cs="Times New Roman"/>
                <w:color w:val="auto"/>
                <w:kern w:val="2"/>
                <w:sz w:val="15"/>
                <w:szCs w:val="15"/>
              </w:rPr>
            </w:pPr>
          </w:p>
        </w:tc>
        <w:tc>
          <w:tcPr>
            <w:tcW w:w="813" w:type="dxa"/>
            <w:vAlign w:val="center"/>
          </w:tcPr>
          <w:p>
            <w:pPr>
              <w:spacing w:after="0"/>
              <w:jc w:val="center"/>
              <w:rPr>
                <w:rFonts w:hint="default" w:ascii="Times New Roman" w:hAnsi="Times New Roman" w:cs="Times New Roman"/>
                <w:color w:val="auto"/>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844" w:type="dxa"/>
            <w:gridSpan w:val="2"/>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二氧化硫</w:t>
            </w:r>
          </w:p>
        </w:tc>
        <w:tc>
          <w:tcPr>
            <w:tcW w:w="850" w:type="dxa"/>
            <w:vAlign w:val="center"/>
          </w:tcPr>
          <w:p>
            <w:pPr>
              <w:spacing w:after="0"/>
              <w:jc w:val="center"/>
              <w:rPr>
                <w:rFonts w:hint="default" w:ascii="Times New Roman" w:hAnsi="Times New Roman" w:cs="Times New Roman"/>
                <w:color w:val="auto"/>
                <w:kern w:val="2"/>
                <w:sz w:val="15"/>
                <w:szCs w:val="15"/>
                <w:highlight w:val="none"/>
              </w:rPr>
            </w:pPr>
          </w:p>
        </w:tc>
        <w:tc>
          <w:tcPr>
            <w:tcW w:w="1418" w:type="dxa"/>
            <w:vAlign w:val="center"/>
          </w:tcPr>
          <w:p>
            <w:pPr>
              <w:spacing w:after="0"/>
              <w:jc w:val="center"/>
              <w:rPr>
                <w:rFonts w:hint="default" w:ascii="Times New Roman" w:hAnsi="Times New Roman" w:eastAsia="微软雅黑" w:cs="Times New Roman"/>
                <w:color w:val="auto"/>
                <w:kern w:val="2"/>
                <w:sz w:val="15"/>
                <w:szCs w:val="15"/>
                <w:highlight w:val="none"/>
                <w:lang w:val="en-US" w:eastAsia="zh-CN"/>
              </w:rPr>
            </w:pPr>
          </w:p>
        </w:tc>
        <w:tc>
          <w:tcPr>
            <w:tcW w:w="1127" w:type="dxa"/>
            <w:vAlign w:val="center"/>
          </w:tcPr>
          <w:p>
            <w:pPr>
              <w:spacing w:after="0"/>
              <w:jc w:val="center"/>
              <w:rPr>
                <w:rFonts w:hint="default" w:ascii="Times New Roman" w:hAnsi="Times New Roman" w:cs="Times New Roman"/>
                <w:color w:val="auto"/>
                <w:kern w:val="2"/>
                <w:sz w:val="15"/>
                <w:szCs w:val="15"/>
                <w:highlight w:val="none"/>
              </w:rPr>
            </w:pPr>
          </w:p>
        </w:tc>
        <w:tc>
          <w:tcPr>
            <w:tcW w:w="1020" w:type="dxa"/>
            <w:vAlign w:val="center"/>
          </w:tcPr>
          <w:p>
            <w:pPr>
              <w:spacing w:after="0"/>
              <w:jc w:val="center"/>
              <w:rPr>
                <w:rFonts w:hint="default" w:ascii="Times New Roman" w:hAnsi="Times New Roman" w:cs="Times New Roman"/>
                <w:color w:val="auto"/>
                <w:kern w:val="2"/>
                <w:sz w:val="15"/>
                <w:szCs w:val="15"/>
                <w:highlight w:val="none"/>
              </w:rPr>
            </w:pPr>
          </w:p>
        </w:tc>
        <w:tc>
          <w:tcPr>
            <w:tcW w:w="1128" w:type="dxa"/>
            <w:gridSpan w:val="2"/>
            <w:vAlign w:val="center"/>
          </w:tcPr>
          <w:p>
            <w:pPr>
              <w:spacing w:after="0"/>
              <w:jc w:val="center"/>
              <w:rPr>
                <w:rFonts w:hint="default" w:ascii="Times New Roman" w:hAnsi="Times New Roman" w:cs="Times New Roman"/>
                <w:color w:val="auto"/>
                <w:kern w:val="2"/>
                <w:sz w:val="15"/>
                <w:szCs w:val="15"/>
                <w:highlight w:val="none"/>
              </w:rPr>
            </w:pPr>
          </w:p>
        </w:tc>
        <w:tc>
          <w:tcPr>
            <w:tcW w:w="1063" w:type="dxa"/>
            <w:vAlign w:val="center"/>
          </w:tcPr>
          <w:p>
            <w:pPr>
              <w:spacing w:after="0"/>
              <w:jc w:val="center"/>
              <w:rPr>
                <w:rFonts w:hint="default" w:ascii="Times New Roman" w:hAnsi="Times New Roman" w:eastAsia="宋体" w:cs="Times New Roman"/>
                <w:color w:val="auto"/>
                <w:kern w:val="2"/>
                <w:sz w:val="15"/>
                <w:szCs w:val="15"/>
                <w:highlight w:val="none"/>
                <w:lang w:val="en-US" w:eastAsia="zh-CN"/>
              </w:rPr>
            </w:pPr>
          </w:p>
        </w:tc>
        <w:tc>
          <w:tcPr>
            <w:tcW w:w="1050" w:type="dxa"/>
            <w:vAlign w:val="center"/>
          </w:tcPr>
          <w:p>
            <w:pPr>
              <w:spacing w:after="0"/>
              <w:jc w:val="center"/>
              <w:rPr>
                <w:rFonts w:hint="default" w:ascii="Times New Roman" w:hAnsi="Times New Roman" w:cs="Times New Roman"/>
                <w:color w:val="auto"/>
                <w:kern w:val="2"/>
                <w:sz w:val="15"/>
                <w:szCs w:val="15"/>
                <w:highlight w:val="none"/>
              </w:rPr>
            </w:pPr>
          </w:p>
        </w:tc>
        <w:tc>
          <w:tcPr>
            <w:tcW w:w="1995" w:type="dxa"/>
            <w:vAlign w:val="center"/>
          </w:tcPr>
          <w:p>
            <w:pPr>
              <w:spacing w:after="0"/>
              <w:jc w:val="center"/>
              <w:rPr>
                <w:rFonts w:hint="default" w:ascii="Times New Roman" w:hAnsi="Times New Roman" w:cs="Times New Roman"/>
                <w:color w:val="auto"/>
                <w:kern w:val="2"/>
                <w:sz w:val="15"/>
                <w:szCs w:val="15"/>
                <w:highlight w:val="none"/>
              </w:rPr>
            </w:pPr>
          </w:p>
        </w:tc>
        <w:tc>
          <w:tcPr>
            <w:tcW w:w="1140" w:type="dxa"/>
            <w:vAlign w:val="center"/>
          </w:tcPr>
          <w:p>
            <w:pPr>
              <w:spacing w:after="0"/>
              <w:jc w:val="center"/>
              <w:rPr>
                <w:rFonts w:hint="default" w:ascii="Times New Roman" w:hAnsi="Times New Roman" w:cs="Times New Roman"/>
                <w:color w:val="auto"/>
                <w:kern w:val="2"/>
                <w:sz w:val="15"/>
                <w:szCs w:val="15"/>
                <w:highlight w:val="none"/>
              </w:rPr>
            </w:pPr>
          </w:p>
        </w:tc>
        <w:tc>
          <w:tcPr>
            <w:tcW w:w="1116" w:type="dxa"/>
            <w:gridSpan w:val="2"/>
            <w:vAlign w:val="center"/>
          </w:tcPr>
          <w:p>
            <w:pPr>
              <w:spacing w:after="0"/>
              <w:jc w:val="center"/>
              <w:rPr>
                <w:rFonts w:hint="default" w:ascii="Times New Roman" w:hAnsi="Times New Roman" w:cs="Times New Roman"/>
                <w:color w:val="auto"/>
                <w:kern w:val="2"/>
                <w:sz w:val="15"/>
                <w:szCs w:val="15"/>
                <w:highlight w:val="none"/>
              </w:rPr>
            </w:pPr>
          </w:p>
        </w:tc>
        <w:tc>
          <w:tcPr>
            <w:tcW w:w="1133" w:type="dxa"/>
            <w:vAlign w:val="center"/>
          </w:tcPr>
          <w:p>
            <w:pPr>
              <w:spacing w:after="0"/>
              <w:jc w:val="center"/>
              <w:textAlignment w:val="center"/>
              <w:rPr>
                <w:rFonts w:hint="default" w:ascii="Times New Roman" w:hAnsi="Times New Roman" w:cs="Times New Roman"/>
                <w:color w:val="auto"/>
                <w:kern w:val="2"/>
                <w:sz w:val="15"/>
                <w:szCs w:val="15"/>
                <w:highlight w:val="none"/>
              </w:rPr>
            </w:pPr>
          </w:p>
        </w:tc>
        <w:tc>
          <w:tcPr>
            <w:tcW w:w="813" w:type="dxa"/>
            <w:vAlign w:val="center"/>
          </w:tcPr>
          <w:p>
            <w:pPr>
              <w:spacing w:after="0"/>
              <w:jc w:val="center"/>
              <w:rPr>
                <w:rFonts w:hint="default" w:ascii="Times New Roman" w:hAnsi="Times New Roman" w:eastAsia="宋体" w:cs="Times New Roman"/>
                <w:color w:val="auto"/>
                <w:kern w:val="2"/>
                <w:sz w:val="15"/>
                <w:szCs w:val="15"/>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844" w:type="dxa"/>
            <w:gridSpan w:val="2"/>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烟尘</w:t>
            </w:r>
          </w:p>
        </w:tc>
        <w:tc>
          <w:tcPr>
            <w:tcW w:w="850" w:type="dxa"/>
            <w:vAlign w:val="center"/>
          </w:tcPr>
          <w:p>
            <w:pPr>
              <w:spacing w:after="0"/>
              <w:jc w:val="center"/>
              <w:rPr>
                <w:rFonts w:hint="default" w:ascii="Times New Roman" w:hAnsi="Times New Roman" w:cs="Times New Roman"/>
                <w:color w:val="auto"/>
                <w:kern w:val="2"/>
                <w:sz w:val="15"/>
                <w:szCs w:val="15"/>
                <w:highlight w:val="none"/>
              </w:rPr>
            </w:pPr>
          </w:p>
        </w:tc>
        <w:tc>
          <w:tcPr>
            <w:tcW w:w="1418" w:type="dxa"/>
            <w:vAlign w:val="center"/>
          </w:tcPr>
          <w:p>
            <w:pPr>
              <w:spacing w:after="0"/>
              <w:jc w:val="center"/>
              <w:rPr>
                <w:rFonts w:hint="default" w:ascii="Times New Roman" w:hAnsi="Times New Roman" w:eastAsia="微软雅黑" w:cs="Times New Roman"/>
                <w:color w:val="auto"/>
                <w:kern w:val="2"/>
                <w:sz w:val="15"/>
                <w:szCs w:val="15"/>
                <w:highlight w:val="none"/>
                <w:lang w:val="en-US" w:eastAsia="zh-CN"/>
              </w:rPr>
            </w:pPr>
            <w:r>
              <w:rPr>
                <w:rFonts w:hint="eastAsia" w:ascii="Times New Roman" w:hAnsi="Times New Roman" w:cs="Times New Roman"/>
                <w:color w:val="auto"/>
                <w:kern w:val="2"/>
                <w:sz w:val="15"/>
                <w:szCs w:val="15"/>
                <w:highlight w:val="none"/>
                <w:lang w:val="en-US" w:eastAsia="zh-CN"/>
              </w:rPr>
              <w:t>1.8</w:t>
            </w:r>
            <w:r>
              <w:rPr>
                <w:rFonts w:hint="default" w:ascii="Times New Roman" w:hAnsi="Times New Roman" w:eastAsia="微软雅黑" w:cs="Times New Roman"/>
                <w:color w:val="auto"/>
                <w:kern w:val="2"/>
                <w:sz w:val="15"/>
                <w:szCs w:val="15"/>
                <w:highlight w:val="none"/>
                <w:lang w:val="en-US" w:eastAsia="zh-CN"/>
              </w:rPr>
              <w:t>mg/m</w:t>
            </w:r>
            <w:r>
              <w:rPr>
                <w:rFonts w:hint="default" w:ascii="Times New Roman" w:hAnsi="Times New Roman" w:eastAsia="微软雅黑" w:cs="Times New Roman"/>
                <w:color w:val="auto"/>
                <w:kern w:val="2"/>
                <w:sz w:val="15"/>
                <w:szCs w:val="15"/>
                <w:highlight w:val="none"/>
                <w:vertAlign w:val="superscript"/>
                <w:lang w:val="en-US" w:eastAsia="zh-CN"/>
              </w:rPr>
              <w:t>3</w:t>
            </w:r>
          </w:p>
        </w:tc>
        <w:tc>
          <w:tcPr>
            <w:tcW w:w="1127" w:type="dxa"/>
            <w:vAlign w:val="center"/>
          </w:tcPr>
          <w:p>
            <w:pPr>
              <w:spacing w:after="0"/>
              <w:jc w:val="center"/>
              <w:rPr>
                <w:rFonts w:hint="default" w:ascii="Times New Roman" w:hAnsi="Times New Roman" w:cs="Times New Roman"/>
                <w:color w:val="auto"/>
                <w:kern w:val="2"/>
                <w:sz w:val="15"/>
                <w:szCs w:val="15"/>
                <w:highlight w:val="none"/>
              </w:rPr>
            </w:pPr>
            <w:r>
              <w:rPr>
                <w:rFonts w:hint="eastAsia" w:ascii="Times New Roman" w:hAnsi="Times New Roman" w:cs="Times New Roman"/>
                <w:color w:val="auto"/>
                <w:kern w:val="2"/>
                <w:sz w:val="15"/>
                <w:szCs w:val="15"/>
                <w:highlight w:val="none"/>
                <w:lang w:val="en-US" w:eastAsia="zh-CN"/>
              </w:rPr>
              <w:t>10mg/m</w:t>
            </w:r>
            <w:r>
              <w:rPr>
                <w:rFonts w:hint="eastAsia" w:ascii="Times New Roman" w:hAnsi="Times New Roman" w:cs="Times New Roman"/>
                <w:color w:val="auto"/>
                <w:kern w:val="2"/>
                <w:sz w:val="15"/>
                <w:szCs w:val="15"/>
                <w:highlight w:val="none"/>
                <w:vertAlign w:val="superscript"/>
                <w:lang w:val="en-US" w:eastAsia="zh-CN"/>
              </w:rPr>
              <w:t>3</w:t>
            </w:r>
          </w:p>
        </w:tc>
        <w:tc>
          <w:tcPr>
            <w:tcW w:w="1020" w:type="dxa"/>
            <w:vAlign w:val="center"/>
          </w:tcPr>
          <w:p>
            <w:pPr>
              <w:spacing w:after="0"/>
              <w:jc w:val="center"/>
              <w:rPr>
                <w:rFonts w:hint="default" w:ascii="Times New Roman" w:hAnsi="Times New Roman" w:cs="Times New Roman"/>
                <w:color w:val="auto"/>
                <w:kern w:val="2"/>
                <w:sz w:val="15"/>
                <w:szCs w:val="15"/>
                <w:highlight w:val="none"/>
              </w:rPr>
            </w:pPr>
            <w:r>
              <w:rPr>
                <w:rFonts w:hint="eastAsia" w:ascii="Times New Roman" w:hAnsi="Times New Roman" w:cs="Times New Roman"/>
                <w:color w:val="auto"/>
                <w:kern w:val="2"/>
                <w:sz w:val="15"/>
                <w:szCs w:val="15"/>
                <w:highlight w:val="none"/>
                <w:lang w:val="en-US" w:eastAsia="zh-CN"/>
              </w:rPr>
              <w:t>0.15</w:t>
            </w:r>
            <w:r>
              <w:rPr>
                <w:rFonts w:hint="default" w:ascii="Times New Roman" w:hAnsi="Times New Roman" w:eastAsia="宋体" w:cs="Times New Roman"/>
                <w:color w:val="auto"/>
                <w:kern w:val="2"/>
                <w:sz w:val="15"/>
                <w:szCs w:val="15"/>
                <w:highlight w:val="none"/>
                <w:lang w:val="en-US" w:eastAsia="zh-CN"/>
              </w:rPr>
              <w:t>t/a</w:t>
            </w:r>
          </w:p>
        </w:tc>
        <w:tc>
          <w:tcPr>
            <w:tcW w:w="1128" w:type="dxa"/>
            <w:gridSpan w:val="2"/>
            <w:vAlign w:val="center"/>
          </w:tcPr>
          <w:p>
            <w:pPr>
              <w:spacing w:after="0"/>
              <w:jc w:val="center"/>
              <w:rPr>
                <w:rFonts w:hint="default" w:ascii="Times New Roman" w:hAnsi="Times New Roman" w:cs="Times New Roman"/>
                <w:color w:val="auto"/>
                <w:kern w:val="2"/>
                <w:sz w:val="15"/>
                <w:szCs w:val="15"/>
                <w:highlight w:val="none"/>
              </w:rPr>
            </w:pPr>
          </w:p>
        </w:tc>
        <w:tc>
          <w:tcPr>
            <w:tcW w:w="1063" w:type="dxa"/>
            <w:vAlign w:val="center"/>
          </w:tcPr>
          <w:p>
            <w:pPr>
              <w:spacing w:after="0"/>
              <w:jc w:val="center"/>
              <w:rPr>
                <w:rFonts w:hint="default" w:ascii="Times New Roman" w:hAnsi="Times New Roman" w:eastAsia="宋体" w:cs="Times New Roman"/>
                <w:color w:val="auto"/>
                <w:kern w:val="2"/>
                <w:sz w:val="15"/>
                <w:szCs w:val="15"/>
                <w:highlight w:val="none"/>
                <w:lang w:val="en-US" w:eastAsia="zh-CN"/>
              </w:rPr>
            </w:pPr>
            <w:r>
              <w:rPr>
                <w:rFonts w:hint="eastAsia" w:ascii="Times New Roman" w:hAnsi="Times New Roman" w:cs="Times New Roman"/>
                <w:color w:val="auto"/>
                <w:kern w:val="2"/>
                <w:sz w:val="15"/>
                <w:szCs w:val="15"/>
                <w:highlight w:val="none"/>
                <w:lang w:val="en-US" w:eastAsia="zh-CN"/>
              </w:rPr>
              <w:t>0.15</w:t>
            </w:r>
            <w:r>
              <w:rPr>
                <w:rFonts w:hint="default" w:ascii="Times New Roman" w:hAnsi="Times New Roman" w:eastAsia="宋体" w:cs="Times New Roman"/>
                <w:color w:val="auto"/>
                <w:kern w:val="2"/>
                <w:sz w:val="15"/>
                <w:szCs w:val="15"/>
                <w:highlight w:val="none"/>
                <w:lang w:val="en-US" w:eastAsia="zh-CN"/>
              </w:rPr>
              <w:t>t/a</w:t>
            </w:r>
          </w:p>
        </w:tc>
        <w:tc>
          <w:tcPr>
            <w:tcW w:w="1050" w:type="dxa"/>
            <w:vAlign w:val="center"/>
          </w:tcPr>
          <w:p>
            <w:pPr>
              <w:spacing w:after="0"/>
              <w:jc w:val="center"/>
              <w:rPr>
                <w:rFonts w:hint="default" w:ascii="Times New Roman" w:hAnsi="Times New Roman" w:cs="Times New Roman"/>
                <w:color w:val="auto"/>
                <w:kern w:val="2"/>
                <w:sz w:val="15"/>
                <w:szCs w:val="15"/>
                <w:highlight w:val="none"/>
              </w:rPr>
            </w:pPr>
          </w:p>
        </w:tc>
        <w:tc>
          <w:tcPr>
            <w:tcW w:w="1995" w:type="dxa"/>
            <w:vAlign w:val="center"/>
          </w:tcPr>
          <w:p>
            <w:pPr>
              <w:spacing w:after="0"/>
              <w:jc w:val="center"/>
              <w:rPr>
                <w:rFonts w:hint="default" w:ascii="Times New Roman" w:hAnsi="Times New Roman" w:cs="Times New Roman"/>
                <w:color w:val="auto"/>
                <w:kern w:val="2"/>
                <w:sz w:val="15"/>
                <w:szCs w:val="15"/>
                <w:highlight w:val="none"/>
              </w:rPr>
            </w:pPr>
          </w:p>
        </w:tc>
        <w:tc>
          <w:tcPr>
            <w:tcW w:w="1140" w:type="dxa"/>
            <w:vAlign w:val="center"/>
          </w:tcPr>
          <w:p>
            <w:pPr>
              <w:spacing w:after="0"/>
              <w:jc w:val="center"/>
              <w:rPr>
                <w:rFonts w:hint="default" w:ascii="Times New Roman" w:hAnsi="Times New Roman" w:cs="Times New Roman"/>
                <w:color w:val="auto"/>
                <w:kern w:val="2"/>
                <w:sz w:val="15"/>
                <w:szCs w:val="15"/>
                <w:highlight w:val="none"/>
              </w:rPr>
            </w:pPr>
          </w:p>
        </w:tc>
        <w:tc>
          <w:tcPr>
            <w:tcW w:w="1116" w:type="dxa"/>
            <w:gridSpan w:val="2"/>
            <w:vAlign w:val="center"/>
          </w:tcPr>
          <w:p>
            <w:pPr>
              <w:spacing w:after="0"/>
              <w:jc w:val="center"/>
              <w:rPr>
                <w:rFonts w:hint="default" w:ascii="Times New Roman" w:hAnsi="Times New Roman" w:cs="Times New Roman"/>
                <w:color w:val="auto"/>
                <w:kern w:val="2"/>
                <w:sz w:val="15"/>
                <w:szCs w:val="15"/>
                <w:highlight w:val="none"/>
              </w:rPr>
            </w:pPr>
          </w:p>
        </w:tc>
        <w:tc>
          <w:tcPr>
            <w:tcW w:w="1133" w:type="dxa"/>
            <w:vAlign w:val="center"/>
          </w:tcPr>
          <w:p>
            <w:pPr>
              <w:spacing w:after="0"/>
              <w:jc w:val="center"/>
              <w:textAlignment w:val="center"/>
              <w:rPr>
                <w:rFonts w:hint="default" w:ascii="Times New Roman" w:hAnsi="Times New Roman" w:cs="Times New Roman"/>
                <w:color w:val="auto"/>
                <w:kern w:val="2"/>
                <w:sz w:val="15"/>
                <w:szCs w:val="15"/>
                <w:highlight w:val="none"/>
              </w:rPr>
            </w:pPr>
          </w:p>
        </w:tc>
        <w:tc>
          <w:tcPr>
            <w:tcW w:w="813" w:type="dxa"/>
            <w:vAlign w:val="center"/>
          </w:tcPr>
          <w:p>
            <w:pPr>
              <w:spacing w:after="0"/>
              <w:jc w:val="center"/>
              <w:rPr>
                <w:rFonts w:hint="default" w:ascii="Times New Roman" w:hAnsi="Times New Roman" w:eastAsia="宋体" w:cs="Times New Roman"/>
                <w:color w:val="auto"/>
                <w:kern w:val="2"/>
                <w:sz w:val="15"/>
                <w:szCs w:val="15"/>
                <w:highlight w:val="none"/>
                <w:lang w:val="en-US" w:eastAsia="zh-CN" w:bidi="ar-SA"/>
              </w:rPr>
            </w:pPr>
            <w:r>
              <w:rPr>
                <w:rFonts w:hint="default" w:ascii="Times New Roman" w:hAnsi="Times New Roman" w:eastAsia="宋体" w:cs="Times New Roman"/>
                <w:color w:val="auto"/>
                <w:kern w:val="2"/>
                <w:sz w:val="15"/>
                <w:szCs w:val="15"/>
                <w:highlight w:val="none"/>
                <w:lang w:val="en-US" w:eastAsia="zh-CN"/>
              </w:rPr>
              <w:t>+</w:t>
            </w:r>
            <w:r>
              <w:rPr>
                <w:rFonts w:hint="eastAsia" w:ascii="Times New Roman" w:hAnsi="Times New Roman" w:cs="Times New Roman"/>
                <w:color w:val="auto"/>
                <w:kern w:val="2"/>
                <w:sz w:val="15"/>
                <w:szCs w:val="15"/>
                <w:highlight w:val="none"/>
                <w:lang w:val="en-US" w:eastAsia="zh-CN"/>
              </w:rPr>
              <w:t>0.15</w:t>
            </w:r>
            <w:r>
              <w:rPr>
                <w:rFonts w:hint="default" w:ascii="Times New Roman" w:hAnsi="Times New Roman" w:eastAsia="宋体" w:cs="Times New Roman"/>
                <w:color w:val="auto"/>
                <w:kern w:val="2"/>
                <w:sz w:val="15"/>
                <w:szCs w:val="15"/>
                <w:highlight w:val="no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844" w:type="dxa"/>
            <w:gridSpan w:val="2"/>
            <w:vAlign w:val="center"/>
          </w:tcPr>
          <w:p>
            <w:pPr>
              <w:spacing w:after="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工业粉尘</w:t>
            </w:r>
          </w:p>
        </w:tc>
        <w:tc>
          <w:tcPr>
            <w:tcW w:w="850" w:type="dxa"/>
            <w:vAlign w:val="center"/>
          </w:tcPr>
          <w:p>
            <w:pPr>
              <w:spacing w:after="0"/>
              <w:jc w:val="center"/>
              <w:rPr>
                <w:rFonts w:hint="default" w:ascii="Times New Roman" w:hAnsi="Times New Roman" w:cs="Times New Roman"/>
                <w:color w:val="auto"/>
                <w:kern w:val="2"/>
                <w:sz w:val="15"/>
                <w:szCs w:val="15"/>
              </w:rPr>
            </w:pPr>
          </w:p>
        </w:tc>
        <w:tc>
          <w:tcPr>
            <w:tcW w:w="1418" w:type="dxa"/>
            <w:vAlign w:val="center"/>
          </w:tcPr>
          <w:p>
            <w:pPr>
              <w:spacing w:after="0"/>
              <w:jc w:val="center"/>
              <w:rPr>
                <w:rFonts w:hint="default" w:ascii="Times New Roman" w:hAnsi="Times New Roman" w:cs="Times New Roman"/>
                <w:color w:val="auto"/>
                <w:kern w:val="2"/>
                <w:sz w:val="15"/>
                <w:szCs w:val="15"/>
              </w:rPr>
            </w:pPr>
          </w:p>
        </w:tc>
        <w:tc>
          <w:tcPr>
            <w:tcW w:w="1127" w:type="dxa"/>
            <w:vAlign w:val="center"/>
          </w:tcPr>
          <w:p>
            <w:pPr>
              <w:spacing w:after="0"/>
              <w:jc w:val="center"/>
              <w:rPr>
                <w:rFonts w:hint="default" w:ascii="Times New Roman" w:hAnsi="Times New Roman" w:cs="Times New Roman"/>
                <w:color w:val="auto"/>
                <w:kern w:val="2"/>
                <w:sz w:val="15"/>
                <w:szCs w:val="15"/>
              </w:rPr>
            </w:pPr>
          </w:p>
        </w:tc>
        <w:tc>
          <w:tcPr>
            <w:tcW w:w="1020" w:type="dxa"/>
            <w:vAlign w:val="center"/>
          </w:tcPr>
          <w:p>
            <w:pPr>
              <w:spacing w:after="0"/>
              <w:jc w:val="center"/>
              <w:rPr>
                <w:rFonts w:hint="default" w:ascii="Times New Roman" w:hAnsi="Times New Roman" w:eastAsia="宋体" w:cs="Times New Roman"/>
                <w:color w:val="auto"/>
                <w:kern w:val="2"/>
                <w:sz w:val="15"/>
                <w:szCs w:val="15"/>
              </w:rPr>
            </w:pPr>
          </w:p>
        </w:tc>
        <w:tc>
          <w:tcPr>
            <w:tcW w:w="1128" w:type="dxa"/>
            <w:gridSpan w:val="2"/>
            <w:vAlign w:val="center"/>
          </w:tcPr>
          <w:p>
            <w:pPr>
              <w:spacing w:after="0"/>
              <w:jc w:val="center"/>
              <w:rPr>
                <w:rFonts w:hint="default" w:ascii="Times New Roman" w:hAnsi="Times New Roman" w:eastAsia="宋体" w:cs="Times New Roman"/>
                <w:color w:val="auto"/>
                <w:kern w:val="2"/>
                <w:sz w:val="15"/>
                <w:szCs w:val="15"/>
              </w:rPr>
            </w:pPr>
          </w:p>
        </w:tc>
        <w:tc>
          <w:tcPr>
            <w:tcW w:w="1063" w:type="dxa"/>
            <w:vAlign w:val="center"/>
          </w:tcPr>
          <w:p>
            <w:pPr>
              <w:spacing w:after="0"/>
              <w:jc w:val="center"/>
              <w:rPr>
                <w:rFonts w:hint="default" w:ascii="Times New Roman" w:hAnsi="Times New Roman" w:cs="Times New Roman"/>
                <w:color w:val="auto"/>
                <w:kern w:val="2"/>
                <w:sz w:val="15"/>
                <w:szCs w:val="15"/>
              </w:rPr>
            </w:pPr>
          </w:p>
        </w:tc>
        <w:tc>
          <w:tcPr>
            <w:tcW w:w="1050" w:type="dxa"/>
            <w:vAlign w:val="center"/>
          </w:tcPr>
          <w:p>
            <w:pPr>
              <w:spacing w:after="0"/>
              <w:jc w:val="center"/>
              <w:rPr>
                <w:rFonts w:hint="default" w:ascii="Times New Roman" w:hAnsi="Times New Roman" w:cs="Times New Roman"/>
                <w:color w:val="auto"/>
                <w:kern w:val="2"/>
                <w:sz w:val="15"/>
                <w:szCs w:val="15"/>
              </w:rPr>
            </w:pPr>
          </w:p>
        </w:tc>
        <w:tc>
          <w:tcPr>
            <w:tcW w:w="1995" w:type="dxa"/>
            <w:vAlign w:val="center"/>
          </w:tcPr>
          <w:p>
            <w:pPr>
              <w:spacing w:after="0"/>
              <w:jc w:val="center"/>
              <w:rPr>
                <w:rFonts w:hint="default" w:ascii="Times New Roman" w:hAnsi="Times New Roman" w:cs="Times New Roman"/>
                <w:color w:val="auto"/>
                <w:kern w:val="2"/>
                <w:sz w:val="15"/>
                <w:szCs w:val="15"/>
              </w:rPr>
            </w:pPr>
          </w:p>
        </w:tc>
        <w:tc>
          <w:tcPr>
            <w:tcW w:w="1140" w:type="dxa"/>
            <w:vAlign w:val="center"/>
          </w:tcPr>
          <w:p>
            <w:pPr>
              <w:spacing w:after="0"/>
              <w:jc w:val="center"/>
              <w:rPr>
                <w:rFonts w:hint="default" w:ascii="Times New Roman" w:hAnsi="Times New Roman" w:cs="Times New Roman"/>
                <w:color w:val="auto"/>
                <w:kern w:val="2"/>
                <w:sz w:val="15"/>
                <w:szCs w:val="15"/>
              </w:rPr>
            </w:pPr>
          </w:p>
        </w:tc>
        <w:tc>
          <w:tcPr>
            <w:tcW w:w="1116" w:type="dxa"/>
            <w:gridSpan w:val="2"/>
            <w:vAlign w:val="center"/>
          </w:tcPr>
          <w:p>
            <w:pPr>
              <w:spacing w:after="0"/>
              <w:jc w:val="center"/>
              <w:rPr>
                <w:rFonts w:hint="default" w:ascii="Times New Roman" w:hAnsi="Times New Roman" w:cs="Times New Roman"/>
                <w:color w:val="auto"/>
                <w:kern w:val="2"/>
                <w:sz w:val="15"/>
                <w:szCs w:val="15"/>
              </w:rPr>
            </w:pPr>
          </w:p>
        </w:tc>
        <w:tc>
          <w:tcPr>
            <w:tcW w:w="1133" w:type="dxa"/>
            <w:vAlign w:val="center"/>
          </w:tcPr>
          <w:p>
            <w:pPr>
              <w:spacing w:after="0"/>
              <w:jc w:val="center"/>
              <w:rPr>
                <w:rFonts w:hint="default" w:ascii="Times New Roman" w:hAnsi="Times New Roman" w:cs="Times New Roman"/>
                <w:color w:val="auto"/>
                <w:kern w:val="2"/>
                <w:sz w:val="15"/>
                <w:szCs w:val="15"/>
              </w:rPr>
            </w:pPr>
          </w:p>
        </w:tc>
        <w:tc>
          <w:tcPr>
            <w:tcW w:w="813" w:type="dxa"/>
            <w:vAlign w:val="center"/>
          </w:tcPr>
          <w:p>
            <w:pPr>
              <w:spacing w:after="0"/>
              <w:jc w:val="center"/>
              <w:rPr>
                <w:rFonts w:hint="default" w:ascii="Times New Roman" w:hAnsi="Times New Roman" w:eastAsia="微软雅黑" w:cs="Times New Roman"/>
                <w:color w:val="auto"/>
                <w:kern w:val="2"/>
                <w:sz w:val="15"/>
                <w:szCs w:val="15"/>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844" w:type="dxa"/>
            <w:gridSpan w:val="2"/>
            <w:vAlign w:val="center"/>
          </w:tcPr>
          <w:p>
            <w:pPr>
              <w:spacing w:after="0"/>
              <w:jc w:val="center"/>
              <w:rPr>
                <w:rFonts w:hint="default" w:ascii="Times New Roman" w:hAnsi="Times New Roman" w:cs="Times New Roman"/>
                <w:b/>
                <w:color w:val="auto"/>
                <w:kern w:val="2"/>
                <w:sz w:val="15"/>
                <w:szCs w:val="15"/>
                <w:highlight w:val="none"/>
              </w:rPr>
            </w:pPr>
            <w:r>
              <w:rPr>
                <w:rFonts w:hint="default" w:ascii="Times New Roman" w:hAnsi="Times New Roman" w:cs="Times New Roman"/>
                <w:b/>
                <w:color w:val="auto"/>
                <w:kern w:val="2"/>
                <w:sz w:val="15"/>
                <w:szCs w:val="15"/>
                <w:highlight w:val="none"/>
              </w:rPr>
              <w:t>氮氧化物</w:t>
            </w:r>
          </w:p>
        </w:tc>
        <w:tc>
          <w:tcPr>
            <w:tcW w:w="850" w:type="dxa"/>
            <w:vAlign w:val="center"/>
          </w:tcPr>
          <w:p>
            <w:pPr>
              <w:spacing w:after="0"/>
              <w:jc w:val="center"/>
              <w:rPr>
                <w:rFonts w:hint="default" w:ascii="Times New Roman" w:hAnsi="Times New Roman" w:cs="Times New Roman"/>
                <w:color w:val="auto"/>
                <w:kern w:val="2"/>
                <w:sz w:val="15"/>
                <w:szCs w:val="15"/>
                <w:highlight w:val="none"/>
              </w:rPr>
            </w:pPr>
          </w:p>
        </w:tc>
        <w:tc>
          <w:tcPr>
            <w:tcW w:w="1418" w:type="dxa"/>
            <w:vAlign w:val="center"/>
          </w:tcPr>
          <w:p>
            <w:pPr>
              <w:spacing w:after="0"/>
              <w:jc w:val="center"/>
              <w:rPr>
                <w:rFonts w:hint="default" w:ascii="Times New Roman" w:hAnsi="Times New Roman" w:eastAsia="微软雅黑" w:cs="Times New Roman"/>
                <w:color w:val="auto"/>
                <w:kern w:val="2"/>
                <w:sz w:val="15"/>
                <w:szCs w:val="15"/>
                <w:highlight w:val="none"/>
                <w:lang w:val="en-US" w:eastAsia="zh-CN"/>
              </w:rPr>
            </w:pPr>
          </w:p>
        </w:tc>
        <w:tc>
          <w:tcPr>
            <w:tcW w:w="1127" w:type="dxa"/>
            <w:vAlign w:val="center"/>
          </w:tcPr>
          <w:p>
            <w:pPr>
              <w:spacing w:after="0"/>
              <w:jc w:val="center"/>
              <w:rPr>
                <w:rFonts w:hint="default" w:ascii="Times New Roman" w:hAnsi="Times New Roman" w:cs="Times New Roman"/>
                <w:color w:val="auto"/>
                <w:kern w:val="2"/>
                <w:sz w:val="15"/>
                <w:szCs w:val="15"/>
                <w:highlight w:val="none"/>
              </w:rPr>
            </w:pPr>
          </w:p>
        </w:tc>
        <w:tc>
          <w:tcPr>
            <w:tcW w:w="1020" w:type="dxa"/>
            <w:vAlign w:val="center"/>
          </w:tcPr>
          <w:p>
            <w:pPr>
              <w:spacing w:after="0"/>
              <w:jc w:val="center"/>
              <w:rPr>
                <w:rFonts w:hint="default" w:ascii="Times New Roman" w:hAnsi="Times New Roman" w:cs="Times New Roman"/>
                <w:color w:val="auto"/>
                <w:kern w:val="2"/>
                <w:sz w:val="15"/>
                <w:szCs w:val="15"/>
                <w:highlight w:val="none"/>
              </w:rPr>
            </w:pPr>
          </w:p>
        </w:tc>
        <w:tc>
          <w:tcPr>
            <w:tcW w:w="1128" w:type="dxa"/>
            <w:gridSpan w:val="2"/>
            <w:vAlign w:val="center"/>
          </w:tcPr>
          <w:p>
            <w:pPr>
              <w:spacing w:after="0"/>
              <w:jc w:val="center"/>
              <w:rPr>
                <w:rFonts w:hint="default" w:ascii="Times New Roman" w:hAnsi="Times New Roman" w:cs="Times New Roman"/>
                <w:color w:val="auto"/>
                <w:kern w:val="2"/>
                <w:sz w:val="15"/>
                <w:szCs w:val="15"/>
                <w:highlight w:val="none"/>
              </w:rPr>
            </w:pPr>
          </w:p>
        </w:tc>
        <w:tc>
          <w:tcPr>
            <w:tcW w:w="1063" w:type="dxa"/>
            <w:vAlign w:val="center"/>
          </w:tcPr>
          <w:p>
            <w:pPr>
              <w:spacing w:after="0"/>
              <w:jc w:val="center"/>
              <w:rPr>
                <w:rFonts w:hint="default" w:ascii="Times New Roman" w:hAnsi="Times New Roman" w:eastAsia="微软雅黑" w:cs="Times New Roman"/>
                <w:color w:val="auto"/>
                <w:kern w:val="2"/>
                <w:sz w:val="15"/>
                <w:szCs w:val="15"/>
                <w:highlight w:val="none"/>
                <w:lang w:val="en-US" w:eastAsia="zh-CN"/>
              </w:rPr>
            </w:pPr>
          </w:p>
        </w:tc>
        <w:tc>
          <w:tcPr>
            <w:tcW w:w="1050" w:type="dxa"/>
            <w:vAlign w:val="center"/>
          </w:tcPr>
          <w:p>
            <w:pPr>
              <w:spacing w:after="0"/>
              <w:jc w:val="center"/>
              <w:rPr>
                <w:rFonts w:hint="default" w:ascii="Times New Roman" w:hAnsi="Times New Roman" w:cs="Times New Roman"/>
                <w:color w:val="auto"/>
                <w:kern w:val="2"/>
                <w:sz w:val="15"/>
                <w:szCs w:val="15"/>
                <w:highlight w:val="none"/>
              </w:rPr>
            </w:pPr>
          </w:p>
        </w:tc>
        <w:tc>
          <w:tcPr>
            <w:tcW w:w="1995" w:type="dxa"/>
            <w:vAlign w:val="center"/>
          </w:tcPr>
          <w:p>
            <w:pPr>
              <w:spacing w:after="0"/>
              <w:jc w:val="center"/>
              <w:rPr>
                <w:rFonts w:hint="default" w:ascii="Times New Roman" w:hAnsi="Times New Roman" w:cs="Times New Roman"/>
                <w:color w:val="auto"/>
                <w:kern w:val="2"/>
                <w:sz w:val="15"/>
                <w:szCs w:val="15"/>
                <w:highlight w:val="none"/>
              </w:rPr>
            </w:pPr>
          </w:p>
        </w:tc>
        <w:tc>
          <w:tcPr>
            <w:tcW w:w="1140" w:type="dxa"/>
            <w:vAlign w:val="center"/>
          </w:tcPr>
          <w:p>
            <w:pPr>
              <w:spacing w:after="0"/>
              <w:jc w:val="center"/>
              <w:rPr>
                <w:rFonts w:hint="default" w:ascii="Times New Roman" w:hAnsi="Times New Roman" w:cs="Times New Roman"/>
                <w:color w:val="auto"/>
                <w:kern w:val="2"/>
                <w:sz w:val="15"/>
                <w:szCs w:val="15"/>
                <w:highlight w:val="none"/>
              </w:rPr>
            </w:pPr>
          </w:p>
        </w:tc>
        <w:tc>
          <w:tcPr>
            <w:tcW w:w="1116" w:type="dxa"/>
            <w:gridSpan w:val="2"/>
            <w:vAlign w:val="center"/>
          </w:tcPr>
          <w:p>
            <w:pPr>
              <w:spacing w:after="0"/>
              <w:jc w:val="center"/>
              <w:rPr>
                <w:rFonts w:hint="default" w:ascii="Times New Roman" w:hAnsi="Times New Roman" w:cs="Times New Roman"/>
                <w:color w:val="auto"/>
                <w:kern w:val="2"/>
                <w:sz w:val="15"/>
                <w:szCs w:val="15"/>
                <w:highlight w:val="none"/>
              </w:rPr>
            </w:pPr>
          </w:p>
        </w:tc>
        <w:tc>
          <w:tcPr>
            <w:tcW w:w="1133" w:type="dxa"/>
            <w:vAlign w:val="center"/>
          </w:tcPr>
          <w:p>
            <w:pPr>
              <w:spacing w:after="0"/>
              <w:jc w:val="center"/>
              <w:textAlignment w:val="center"/>
              <w:rPr>
                <w:rFonts w:hint="default" w:ascii="Times New Roman" w:hAnsi="Times New Roman" w:cs="Times New Roman"/>
                <w:color w:val="auto"/>
                <w:kern w:val="2"/>
                <w:sz w:val="15"/>
                <w:szCs w:val="15"/>
                <w:highlight w:val="none"/>
              </w:rPr>
            </w:pPr>
          </w:p>
        </w:tc>
        <w:tc>
          <w:tcPr>
            <w:tcW w:w="813" w:type="dxa"/>
            <w:vAlign w:val="center"/>
          </w:tcPr>
          <w:p>
            <w:pPr>
              <w:spacing w:after="0"/>
              <w:jc w:val="center"/>
              <w:rPr>
                <w:rFonts w:hint="default" w:ascii="Times New Roman" w:hAnsi="Times New Roman" w:eastAsia="微软雅黑" w:cs="Times New Roman"/>
                <w:color w:val="auto"/>
                <w:kern w:val="2"/>
                <w:sz w:val="15"/>
                <w:szCs w:val="15"/>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844" w:type="dxa"/>
            <w:gridSpan w:val="2"/>
            <w:vAlign w:val="center"/>
          </w:tcPr>
          <w:p>
            <w:pPr>
              <w:spacing w:after="0"/>
              <w:jc w:val="center"/>
              <w:rPr>
                <w:rFonts w:hint="default" w:ascii="Times New Roman" w:hAnsi="Times New Roman" w:eastAsia="黑体" w:cs="Times New Roman"/>
                <w:b/>
                <w:color w:val="auto"/>
                <w:kern w:val="2"/>
                <w:sz w:val="15"/>
                <w:szCs w:val="15"/>
                <w:highlight w:val="none"/>
              </w:rPr>
            </w:pPr>
            <w:r>
              <w:rPr>
                <w:rFonts w:hint="default" w:ascii="Times New Roman" w:hAnsi="Times New Roman" w:eastAsia="黑体" w:cs="Times New Roman"/>
                <w:b/>
                <w:color w:val="auto"/>
                <w:kern w:val="2"/>
                <w:sz w:val="15"/>
                <w:szCs w:val="15"/>
                <w:highlight w:val="none"/>
              </w:rPr>
              <w:t>工业固体废物</w:t>
            </w:r>
          </w:p>
        </w:tc>
        <w:tc>
          <w:tcPr>
            <w:tcW w:w="850" w:type="dxa"/>
            <w:vAlign w:val="center"/>
          </w:tcPr>
          <w:p>
            <w:pPr>
              <w:spacing w:after="0"/>
              <w:jc w:val="center"/>
              <w:rPr>
                <w:rFonts w:hint="default" w:ascii="Times New Roman" w:hAnsi="Times New Roman" w:cs="Times New Roman"/>
                <w:color w:val="auto"/>
                <w:kern w:val="2"/>
                <w:sz w:val="15"/>
                <w:szCs w:val="15"/>
                <w:highlight w:val="none"/>
              </w:rPr>
            </w:pPr>
          </w:p>
        </w:tc>
        <w:tc>
          <w:tcPr>
            <w:tcW w:w="1418" w:type="dxa"/>
            <w:vAlign w:val="center"/>
          </w:tcPr>
          <w:p>
            <w:pPr>
              <w:spacing w:after="0"/>
              <w:jc w:val="center"/>
              <w:rPr>
                <w:rFonts w:hint="default" w:ascii="Times New Roman" w:hAnsi="Times New Roman" w:cs="Times New Roman"/>
                <w:color w:val="auto"/>
                <w:kern w:val="2"/>
                <w:sz w:val="15"/>
                <w:szCs w:val="15"/>
                <w:highlight w:val="none"/>
              </w:rPr>
            </w:pPr>
          </w:p>
        </w:tc>
        <w:tc>
          <w:tcPr>
            <w:tcW w:w="1127" w:type="dxa"/>
            <w:vAlign w:val="center"/>
          </w:tcPr>
          <w:p>
            <w:pPr>
              <w:spacing w:after="0"/>
              <w:jc w:val="center"/>
              <w:rPr>
                <w:rFonts w:hint="default" w:ascii="Times New Roman" w:hAnsi="Times New Roman" w:cs="Times New Roman"/>
                <w:color w:val="auto"/>
                <w:kern w:val="2"/>
                <w:sz w:val="15"/>
                <w:szCs w:val="15"/>
                <w:highlight w:val="none"/>
              </w:rPr>
            </w:pPr>
          </w:p>
        </w:tc>
        <w:tc>
          <w:tcPr>
            <w:tcW w:w="1020" w:type="dxa"/>
            <w:vAlign w:val="center"/>
          </w:tcPr>
          <w:p>
            <w:pPr>
              <w:spacing w:after="0"/>
              <w:jc w:val="center"/>
              <w:rPr>
                <w:rFonts w:hint="default" w:ascii="Times New Roman" w:hAnsi="Times New Roman" w:cs="Times New Roman"/>
                <w:color w:val="auto"/>
                <w:kern w:val="2"/>
                <w:sz w:val="15"/>
                <w:szCs w:val="15"/>
                <w:highlight w:val="none"/>
              </w:rPr>
            </w:pPr>
          </w:p>
        </w:tc>
        <w:tc>
          <w:tcPr>
            <w:tcW w:w="1128" w:type="dxa"/>
            <w:gridSpan w:val="2"/>
            <w:vAlign w:val="center"/>
          </w:tcPr>
          <w:p>
            <w:pPr>
              <w:spacing w:after="0"/>
              <w:jc w:val="center"/>
              <w:rPr>
                <w:rFonts w:hint="default" w:ascii="Times New Roman" w:hAnsi="Times New Roman" w:cs="Times New Roman"/>
                <w:color w:val="auto"/>
                <w:kern w:val="2"/>
                <w:sz w:val="15"/>
                <w:szCs w:val="15"/>
                <w:highlight w:val="none"/>
              </w:rPr>
            </w:pPr>
          </w:p>
        </w:tc>
        <w:tc>
          <w:tcPr>
            <w:tcW w:w="1063" w:type="dxa"/>
            <w:vAlign w:val="center"/>
          </w:tcPr>
          <w:p>
            <w:pPr>
              <w:spacing w:after="0"/>
              <w:jc w:val="center"/>
              <w:rPr>
                <w:rFonts w:hint="default" w:ascii="Times New Roman" w:hAnsi="Times New Roman" w:cs="Times New Roman"/>
                <w:color w:val="auto"/>
                <w:kern w:val="2"/>
                <w:sz w:val="15"/>
                <w:szCs w:val="15"/>
                <w:highlight w:val="none"/>
              </w:rPr>
            </w:pPr>
          </w:p>
        </w:tc>
        <w:tc>
          <w:tcPr>
            <w:tcW w:w="1050" w:type="dxa"/>
            <w:vAlign w:val="center"/>
          </w:tcPr>
          <w:p>
            <w:pPr>
              <w:spacing w:after="0"/>
              <w:jc w:val="center"/>
              <w:rPr>
                <w:rFonts w:hint="default" w:ascii="Times New Roman" w:hAnsi="Times New Roman" w:cs="Times New Roman"/>
                <w:color w:val="auto"/>
                <w:kern w:val="2"/>
                <w:sz w:val="15"/>
                <w:szCs w:val="15"/>
                <w:highlight w:val="none"/>
              </w:rPr>
            </w:pPr>
          </w:p>
        </w:tc>
        <w:tc>
          <w:tcPr>
            <w:tcW w:w="1995" w:type="dxa"/>
            <w:vAlign w:val="center"/>
          </w:tcPr>
          <w:p>
            <w:pPr>
              <w:spacing w:after="0"/>
              <w:jc w:val="center"/>
              <w:rPr>
                <w:rFonts w:hint="default" w:ascii="Times New Roman" w:hAnsi="Times New Roman" w:cs="Times New Roman"/>
                <w:color w:val="auto"/>
                <w:kern w:val="2"/>
                <w:sz w:val="15"/>
                <w:szCs w:val="15"/>
                <w:highlight w:val="none"/>
              </w:rPr>
            </w:pPr>
          </w:p>
        </w:tc>
        <w:tc>
          <w:tcPr>
            <w:tcW w:w="1140" w:type="dxa"/>
            <w:vAlign w:val="center"/>
          </w:tcPr>
          <w:p>
            <w:pPr>
              <w:spacing w:after="0"/>
              <w:jc w:val="center"/>
              <w:rPr>
                <w:rFonts w:hint="default" w:ascii="Times New Roman" w:hAnsi="Times New Roman" w:cs="Times New Roman"/>
                <w:color w:val="auto"/>
                <w:kern w:val="2"/>
                <w:sz w:val="15"/>
                <w:szCs w:val="15"/>
                <w:highlight w:val="none"/>
              </w:rPr>
            </w:pPr>
          </w:p>
        </w:tc>
        <w:tc>
          <w:tcPr>
            <w:tcW w:w="1116" w:type="dxa"/>
            <w:gridSpan w:val="2"/>
            <w:vAlign w:val="center"/>
          </w:tcPr>
          <w:p>
            <w:pPr>
              <w:spacing w:after="0"/>
              <w:jc w:val="center"/>
              <w:rPr>
                <w:rFonts w:hint="default" w:ascii="Times New Roman" w:hAnsi="Times New Roman" w:cs="Times New Roman"/>
                <w:color w:val="auto"/>
                <w:kern w:val="2"/>
                <w:sz w:val="15"/>
                <w:szCs w:val="15"/>
                <w:highlight w:val="none"/>
              </w:rPr>
            </w:pPr>
          </w:p>
        </w:tc>
        <w:tc>
          <w:tcPr>
            <w:tcW w:w="1133" w:type="dxa"/>
            <w:vAlign w:val="center"/>
          </w:tcPr>
          <w:p>
            <w:pPr>
              <w:spacing w:after="0"/>
              <w:jc w:val="center"/>
              <w:rPr>
                <w:rFonts w:hint="default" w:ascii="Times New Roman" w:hAnsi="Times New Roman" w:cs="Times New Roman"/>
                <w:color w:val="auto"/>
                <w:kern w:val="2"/>
                <w:sz w:val="15"/>
                <w:szCs w:val="15"/>
                <w:highlight w:val="none"/>
              </w:rPr>
            </w:pPr>
          </w:p>
        </w:tc>
        <w:tc>
          <w:tcPr>
            <w:tcW w:w="813" w:type="dxa"/>
            <w:vAlign w:val="center"/>
          </w:tcPr>
          <w:p>
            <w:pPr>
              <w:spacing w:after="0"/>
              <w:jc w:val="center"/>
              <w:rPr>
                <w:rFonts w:hint="default" w:ascii="Times New Roman" w:hAnsi="Times New Roman" w:cs="Times New Roman"/>
                <w:color w:val="auto"/>
                <w:kern w:val="2"/>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129" w:type="dxa"/>
            <w:vMerge w:val="restart"/>
            <w:vAlign w:val="center"/>
          </w:tcPr>
          <w:p>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b/>
                <w:color w:val="auto"/>
                <w:kern w:val="2"/>
                <w:sz w:val="15"/>
                <w:szCs w:val="15"/>
              </w:rPr>
              <w:t>与项目有关的其他特征污染物</w:t>
            </w:r>
          </w:p>
        </w:tc>
        <w:tc>
          <w:tcPr>
            <w:tcW w:w="715" w:type="dxa"/>
            <w:vAlign w:val="center"/>
          </w:tcPr>
          <w:p>
            <w:pPr>
              <w:spacing w:after="0"/>
              <w:jc w:val="center"/>
              <w:rPr>
                <w:rFonts w:hint="default" w:ascii="Times New Roman" w:hAnsi="Times New Roman" w:eastAsia="宋体" w:cs="Times New Roman"/>
                <w:color w:val="auto"/>
                <w:kern w:val="2"/>
                <w:sz w:val="15"/>
                <w:szCs w:val="15"/>
              </w:rPr>
            </w:pPr>
          </w:p>
        </w:tc>
        <w:tc>
          <w:tcPr>
            <w:tcW w:w="850" w:type="dxa"/>
            <w:vAlign w:val="center"/>
          </w:tcPr>
          <w:p>
            <w:pPr>
              <w:spacing w:after="0"/>
              <w:jc w:val="center"/>
              <w:rPr>
                <w:rFonts w:hint="default" w:ascii="Times New Roman" w:hAnsi="Times New Roman" w:cs="Times New Roman"/>
                <w:color w:val="auto"/>
                <w:kern w:val="2"/>
                <w:sz w:val="15"/>
                <w:szCs w:val="15"/>
              </w:rPr>
            </w:pPr>
          </w:p>
        </w:tc>
        <w:tc>
          <w:tcPr>
            <w:tcW w:w="1418" w:type="dxa"/>
            <w:vAlign w:val="center"/>
          </w:tcPr>
          <w:p>
            <w:pPr>
              <w:spacing w:after="0"/>
              <w:jc w:val="center"/>
              <w:rPr>
                <w:rFonts w:hint="default" w:ascii="Times New Roman" w:hAnsi="Times New Roman" w:eastAsia="微软雅黑" w:cs="Times New Roman"/>
                <w:color w:val="auto"/>
                <w:kern w:val="2"/>
                <w:sz w:val="15"/>
                <w:szCs w:val="15"/>
                <w:lang w:val="en-US" w:eastAsia="zh-CN"/>
              </w:rPr>
            </w:pPr>
          </w:p>
        </w:tc>
        <w:tc>
          <w:tcPr>
            <w:tcW w:w="1127" w:type="dxa"/>
            <w:vAlign w:val="center"/>
          </w:tcPr>
          <w:p>
            <w:pPr>
              <w:spacing w:after="0"/>
              <w:jc w:val="center"/>
              <w:rPr>
                <w:rFonts w:hint="default" w:ascii="Times New Roman" w:hAnsi="Times New Roman" w:cs="Times New Roman"/>
                <w:color w:val="auto"/>
                <w:kern w:val="2"/>
                <w:sz w:val="15"/>
                <w:szCs w:val="15"/>
              </w:rPr>
            </w:pPr>
          </w:p>
        </w:tc>
        <w:tc>
          <w:tcPr>
            <w:tcW w:w="1020" w:type="dxa"/>
            <w:vAlign w:val="center"/>
          </w:tcPr>
          <w:p>
            <w:pPr>
              <w:spacing w:after="0"/>
              <w:jc w:val="center"/>
              <w:rPr>
                <w:rFonts w:hint="default" w:ascii="Times New Roman" w:hAnsi="Times New Roman" w:cs="Times New Roman"/>
                <w:color w:val="auto"/>
                <w:kern w:val="2"/>
                <w:sz w:val="15"/>
                <w:szCs w:val="15"/>
              </w:rPr>
            </w:pPr>
          </w:p>
        </w:tc>
        <w:tc>
          <w:tcPr>
            <w:tcW w:w="1128" w:type="dxa"/>
            <w:gridSpan w:val="2"/>
            <w:vAlign w:val="center"/>
          </w:tcPr>
          <w:p>
            <w:pPr>
              <w:spacing w:after="0"/>
              <w:jc w:val="center"/>
              <w:rPr>
                <w:rFonts w:hint="default" w:ascii="Times New Roman" w:hAnsi="Times New Roman" w:cs="Times New Roman"/>
                <w:color w:val="auto"/>
                <w:kern w:val="2"/>
                <w:sz w:val="15"/>
                <w:szCs w:val="15"/>
              </w:rPr>
            </w:pPr>
          </w:p>
        </w:tc>
        <w:tc>
          <w:tcPr>
            <w:tcW w:w="1063" w:type="dxa"/>
            <w:vAlign w:val="center"/>
          </w:tcPr>
          <w:p>
            <w:pPr>
              <w:spacing w:after="0"/>
              <w:jc w:val="center"/>
              <w:rPr>
                <w:rFonts w:hint="default" w:ascii="Times New Roman" w:hAnsi="Times New Roman" w:eastAsia="微软雅黑" w:cs="Times New Roman"/>
                <w:color w:val="auto"/>
                <w:kern w:val="2"/>
                <w:sz w:val="15"/>
                <w:szCs w:val="15"/>
                <w:lang w:val="en-US" w:eastAsia="zh-CN"/>
              </w:rPr>
            </w:pPr>
          </w:p>
        </w:tc>
        <w:tc>
          <w:tcPr>
            <w:tcW w:w="1050" w:type="dxa"/>
            <w:vAlign w:val="center"/>
          </w:tcPr>
          <w:p>
            <w:pPr>
              <w:spacing w:after="0"/>
              <w:jc w:val="center"/>
              <w:rPr>
                <w:rFonts w:hint="default" w:ascii="Times New Roman" w:hAnsi="Times New Roman" w:cs="Times New Roman"/>
                <w:color w:val="auto"/>
                <w:kern w:val="2"/>
                <w:sz w:val="15"/>
                <w:szCs w:val="15"/>
              </w:rPr>
            </w:pPr>
          </w:p>
        </w:tc>
        <w:tc>
          <w:tcPr>
            <w:tcW w:w="1995" w:type="dxa"/>
            <w:vAlign w:val="center"/>
          </w:tcPr>
          <w:p>
            <w:pPr>
              <w:spacing w:after="0"/>
              <w:jc w:val="center"/>
              <w:rPr>
                <w:rFonts w:hint="default" w:ascii="Times New Roman" w:hAnsi="Times New Roman" w:cs="Times New Roman"/>
                <w:color w:val="auto"/>
                <w:kern w:val="2"/>
                <w:sz w:val="15"/>
                <w:szCs w:val="15"/>
              </w:rPr>
            </w:pPr>
          </w:p>
        </w:tc>
        <w:tc>
          <w:tcPr>
            <w:tcW w:w="1140" w:type="dxa"/>
            <w:vAlign w:val="center"/>
          </w:tcPr>
          <w:p>
            <w:pPr>
              <w:spacing w:after="0"/>
              <w:jc w:val="center"/>
              <w:rPr>
                <w:rFonts w:hint="default" w:ascii="Times New Roman" w:hAnsi="Times New Roman" w:cs="Times New Roman"/>
                <w:color w:val="auto"/>
                <w:kern w:val="2"/>
                <w:sz w:val="15"/>
                <w:szCs w:val="15"/>
              </w:rPr>
            </w:pPr>
          </w:p>
        </w:tc>
        <w:tc>
          <w:tcPr>
            <w:tcW w:w="1116" w:type="dxa"/>
            <w:gridSpan w:val="2"/>
            <w:vAlign w:val="center"/>
          </w:tcPr>
          <w:p>
            <w:pPr>
              <w:spacing w:after="0"/>
              <w:jc w:val="center"/>
              <w:rPr>
                <w:rFonts w:hint="default" w:ascii="Times New Roman" w:hAnsi="Times New Roman" w:cs="Times New Roman"/>
                <w:color w:val="auto"/>
                <w:kern w:val="2"/>
                <w:sz w:val="15"/>
                <w:szCs w:val="15"/>
              </w:rPr>
            </w:pPr>
          </w:p>
        </w:tc>
        <w:tc>
          <w:tcPr>
            <w:tcW w:w="1133" w:type="dxa"/>
            <w:vAlign w:val="center"/>
          </w:tcPr>
          <w:p>
            <w:pPr>
              <w:spacing w:after="0"/>
              <w:jc w:val="center"/>
              <w:rPr>
                <w:rFonts w:hint="default" w:ascii="Times New Roman" w:hAnsi="Times New Roman" w:cs="Times New Roman"/>
                <w:color w:val="auto"/>
                <w:kern w:val="2"/>
                <w:sz w:val="15"/>
                <w:szCs w:val="15"/>
              </w:rPr>
            </w:pPr>
          </w:p>
        </w:tc>
        <w:tc>
          <w:tcPr>
            <w:tcW w:w="813" w:type="dxa"/>
            <w:vAlign w:val="center"/>
          </w:tcPr>
          <w:p>
            <w:pPr>
              <w:spacing w:after="0"/>
              <w:jc w:val="center"/>
              <w:rPr>
                <w:rFonts w:hint="default" w:ascii="Times New Roman" w:hAnsi="Times New Roman" w:cs="Times New Roman"/>
                <w:color w:val="auto"/>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129" w:type="dxa"/>
            <w:vMerge w:val="continue"/>
            <w:vAlign w:val="center"/>
          </w:tcPr>
          <w:p>
            <w:pPr>
              <w:spacing w:after="0"/>
              <w:jc w:val="center"/>
              <w:rPr>
                <w:rFonts w:hint="default" w:ascii="Times New Roman" w:hAnsi="Times New Roman" w:cs="Times New Roman"/>
                <w:b/>
                <w:color w:val="auto"/>
                <w:kern w:val="2"/>
                <w:sz w:val="15"/>
                <w:szCs w:val="15"/>
              </w:rPr>
            </w:pPr>
          </w:p>
        </w:tc>
        <w:tc>
          <w:tcPr>
            <w:tcW w:w="715" w:type="dxa"/>
            <w:vAlign w:val="center"/>
          </w:tcPr>
          <w:p>
            <w:pPr>
              <w:spacing w:after="0"/>
              <w:jc w:val="center"/>
              <w:rPr>
                <w:rFonts w:hint="default" w:ascii="Times New Roman" w:hAnsi="Times New Roman" w:cs="Times New Roman"/>
                <w:color w:val="auto"/>
                <w:kern w:val="2"/>
                <w:sz w:val="15"/>
                <w:szCs w:val="15"/>
              </w:rPr>
            </w:pPr>
          </w:p>
        </w:tc>
        <w:tc>
          <w:tcPr>
            <w:tcW w:w="850" w:type="dxa"/>
            <w:vAlign w:val="center"/>
          </w:tcPr>
          <w:p>
            <w:pPr>
              <w:spacing w:after="0"/>
              <w:jc w:val="center"/>
              <w:rPr>
                <w:rFonts w:hint="default" w:ascii="Times New Roman" w:hAnsi="Times New Roman" w:cs="Times New Roman"/>
                <w:color w:val="auto"/>
                <w:kern w:val="2"/>
                <w:sz w:val="15"/>
                <w:szCs w:val="15"/>
              </w:rPr>
            </w:pPr>
          </w:p>
        </w:tc>
        <w:tc>
          <w:tcPr>
            <w:tcW w:w="1418" w:type="dxa"/>
            <w:vAlign w:val="center"/>
          </w:tcPr>
          <w:p>
            <w:pPr>
              <w:spacing w:after="0"/>
              <w:jc w:val="center"/>
              <w:rPr>
                <w:rFonts w:hint="default" w:ascii="Times New Roman" w:hAnsi="Times New Roman" w:cs="Times New Roman"/>
                <w:color w:val="auto"/>
                <w:kern w:val="2"/>
                <w:sz w:val="15"/>
                <w:szCs w:val="15"/>
              </w:rPr>
            </w:pPr>
          </w:p>
        </w:tc>
        <w:tc>
          <w:tcPr>
            <w:tcW w:w="1127" w:type="dxa"/>
            <w:vAlign w:val="center"/>
          </w:tcPr>
          <w:p>
            <w:pPr>
              <w:spacing w:after="0"/>
              <w:jc w:val="center"/>
              <w:rPr>
                <w:rFonts w:hint="default" w:ascii="Times New Roman" w:hAnsi="Times New Roman" w:cs="Times New Roman"/>
                <w:color w:val="auto"/>
                <w:kern w:val="2"/>
                <w:sz w:val="15"/>
                <w:szCs w:val="15"/>
              </w:rPr>
            </w:pPr>
          </w:p>
        </w:tc>
        <w:tc>
          <w:tcPr>
            <w:tcW w:w="1020" w:type="dxa"/>
            <w:vAlign w:val="center"/>
          </w:tcPr>
          <w:p>
            <w:pPr>
              <w:spacing w:after="0"/>
              <w:jc w:val="center"/>
              <w:rPr>
                <w:rFonts w:hint="default" w:ascii="Times New Roman" w:hAnsi="Times New Roman" w:cs="Times New Roman"/>
                <w:color w:val="auto"/>
                <w:kern w:val="2"/>
                <w:sz w:val="15"/>
                <w:szCs w:val="15"/>
              </w:rPr>
            </w:pPr>
          </w:p>
        </w:tc>
        <w:tc>
          <w:tcPr>
            <w:tcW w:w="1128" w:type="dxa"/>
            <w:gridSpan w:val="2"/>
            <w:vAlign w:val="center"/>
          </w:tcPr>
          <w:p>
            <w:pPr>
              <w:spacing w:after="0"/>
              <w:jc w:val="center"/>
              <w:rPr>
                <w:rFonts w:hint="default" w:ascii="Times New Roman" w:hAnsi="Times New Roman" w:cs="Times New Roman"/>
                <w:color w:val="auto"/>
                <w:kern w:val="2"/>
                <w:sz w:val="15"/>
                <w:szCs w:val="15"/>
              </w:rPr>
            </w:pPr>
          </w:p>
        </w:tc>
        <w:tc>
          <w:tcPr>
            <w:tcW w:w="1063" w:type="dxa"/>
            <w:vAlign w:val="center"/>
          </w:tcPr>
          <w:p>
            <w:pPr>
              <w:spacing w:after="0"/>
              <w:jc w:val="center"/>
              <w:rPr>
                <w:rFonts w:hint="default" w:ascii="Times New Roman" w:hAnsi="Times New Roman" w:cs="Times New Roman"/>
                <w:color w:val="auto"/>
                <w:kern w:val="2"/>
                <w:sz w:val="15"/>
                <w:szCs w:val="15"/>
              </w:rPr>
            </w:pPr>
          </w:p>
        </w:tc>
        <w:tc>
          <w:tcPr>
            <w:tcW w:w="1050" w:type="dxa"/>
            <w:vAlign w:val="center"/>
          </w:tcPr>
          <w:p>
            <w:pPr>
              <w:spacing w:after="0"/>
              <w:jc w:val="center"/>
              <w:rPr>
                <w:rFonts w:hint="default" w:ascii="Times New Roman" w:hAnsi="Times New Roman" w:cs="Times New Roman"/>
                <w:color w:val="auto"/>
                <w:kern w:val="2"/>
                <w:sz w:val="15"/>
                <w:szCs w:val="15"/>
              </w:rPr>
            </w:pPr>
          </w:p>
        </w:tc>
        <w:tc>
          <w:tcPr>
            <w:tcW w:w="1995" w:type="dxa"/>
            <w:vAlign w:val="center"/>
          </w:tcPr>
          <w:p>
            <w:pPr>
              <w:spacing w:after="0"/>
              <w:jc w:val="center"/>
              <w:rPr>
                <w:rFonts w:hint="default" w:ascii="Times New Roman" w:hAnsi="Times New Roman" w:cs="Times New Roman"/>
                <w:color w:val="auto"/>
                <w:kern w:val="2"/>
                <w:sz w:val="15"/>
                <w:szCs w:val="15"/>
              </w:rPr>
            </w:pPr>
          </w:p>
        </w:tc>
        <w:tc>
          <w:tcPr>
            <w:tcW w:w="1140" w:type="dxa"/>
            <w:vAlign w:val="center"/>
          </w:tcPr>
          <w:p>
            <w:pPr>
              <w:spacing w:after="0"/>
              <w:jc w:val="center"/>
              <w:rPr>
                <w:rFonts w:hint="default" w:ascii="Times New Roman" w:hAnsi="Times New Roman" w:cs="Times New Roman"/>
                <w:color w:val="auto"/>
                <w:kern w:val="2"/>
                <w:sz w:val="15"/>
                <w:szCs w:val="15"/>
              </w:rPr>
            </w:pPr>
          </w:p>
        </w:tc>
        <w:tc>
          <w:tcPr>
            <w:tcW w:w="1116" w:type="dxa"/>
            <w:gridSpan w:val="2"/>
            <w:vAlign w:val="center"/>
          </w:tcPr>
          <w:p>
            <w:pPr>
              <w:spacing w:after="0"/>
              <w:jc w:val="center"/>
              <w:rPr>
                <w:rFonts w:hint="default" w:ascii="Times New Roman" w:hAnsi="Times New Roman" w:cs="Times New Roman"/>
                <w:color w:val="auto"/>
                <w:kern w:val="2"/>
                <w:sz w:val="15"/>
                <w:szCs w:val="15"/>
              </w:rPr>
            </w:pPr>
          </w:p>
        </w:tc>
        <w:tc>
          <w:tcPr>
            <w:tcW w:w="1133" w:type="dxa"/>
            <w:vAlign w:val="center"/>
          </w:tcPr>
          <w:p>
            <w:pPr>
              <w:spacing w:after="0"/>
              <w:jc w:val="center"/>
              <w:rPr>
                <w:rFonts w:hint="default" w:ascii="Times New Roman" w:hAnsi="Times New Roman" w:cs="Times New Roman"/>
                <w:color w:val="auto"/>
                <w:kern w:val="2"/>
                <w:sz w:val="15"/>
                <w:szCs w:val="15"/>
              </w:rPr>
            </w:pPr>
          </w:p>
        </w:tc>
        <w:tc>
          <w:tcPr>
            <w:tcW w:w="813" w:type="dxa"/>
            <w:vAlign w:val="center"/>
          </w:tcPr>
          <w:p>
            <w:pPr>
              <w:spacing w:after="0"/>
              <w:jc w:val="center"/>
              <w:rPr>
                <w:rFonts w:hint="default" w:ascii="Times New Roman" w:hAnsi="Times New Roman" w:cs="Times New Roman"/>
                <w:color w:val="auto"/>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4" w:type="dxa"/>
            <w:gridSpan w:val="2"/>
            <w:vMerge w:val="continue"/>
            <w:vAlign w:val="center"/>
          </w:tcPr>
          <w:p>
            <w:pPr>
              <w:spacing w:after="0"/>
              <w:jc w:val="center"/>
              <w:rPr>
                <w:rFonts w:hint="default" w:ascii="Times New Roman" w:hAnsi="Times New Roman" w:cs="Times New Roman"/>
                <w:color w:val="auto"/>
                <w:kern w:val="2"/>
                <w:sz w:val="15"/>
                <w:szCs w:val="15"/>
              </w:rPr>
            </w:pPr>
          </w:p>
        </w:tc>
        <w:tc>
          <w:tcPr>
            <w:tcW w:w="1129" w:type="dxa"/>
            <w:vMerge w:val="continue"/>
            <w:vAlign w:val="center"/>
          </w:tcPr>
          <w:p>
            <w:pPr>
              <w:spacing w:after="0"/>
              <w:jc w:val="center"/>
              <w:rPr>
                <w:rFonts w:hint="default" w:ascii="Times New Roman" w:hAnsi="Times New Roman" w:cs="Times New Roman"/>
                <w:b/>
                <w:color w:val="auto"/>
                <w:kern w:val="2"/>
                <w:sz w:val="15"/>
                <w:szCs w:val="15"/>
              </w:rPr>
            </w:pPr>
          </w:p>
        </w:tc>
        <w:tc>
          <w:tcPr>
            <w:tcW w:w="715" w:type="dxa"/>
            <w:vAlign w:val="center"/>
          </w:tcPr>
          <w:p>
            <w:pPr>
              <w:spacing w:after="0"/>
              <w:jc w:val="center"/>
              <w:rPr>
                <w:rFonts w:hint="default" w:ascii="Times New Roman" w:hAnsi="Times New Roman" w:cs="Times New Roman"/>
                <w:color w:val="auto"/>
                <w:kern w:val="2"/>
                <w:sz w:val="15"/>
                <w:szCs w:val="15"/>
              </w:rPr>
            </w:pPr>
          </w:p>
        </w:tc>
        <w:tc>
          <w:tcPr>
            <w:tcW w:w="850" w:type="dxa"/>
            <w:vAlign w:val="center"/>
          </w:tcPr>
          <w:p>
            <w:pPr>
              <w:spacing w:after="0"/>
              <w:jc w:val="center"/>
              <w:rPr>
                <w:rFonts w:hint="default" w:ascii="Times New Roman" w:hAnsi="Times New Roman" w:cs="Times New Roman"/>
                <w:color w:val="auto"/>
                <w:kern w:val="2"/>
                <w:sz w:val="15"/>
                <w:szCs w:val="15"/>
              </w:rPr>
            </w:pPr>
          </w:p>
        </w:tc>
        <w:tc>
          <w:tcPr>
            <w:tcW w:w="1418" w:type="dxa"/>
            <w:vAlign w:val="center"/>
          </w:tcPr>
          <w:p>
            <w:pPr>
              <w:spacing w:after="0"/>
              <w:jc w:val="center"/>
              <w:rPr>
                <w:rFonts w:hint="default" w:ascii="Times New Roman" w:hAnsi="Times New Roman" w:cs="Times New Roman"/>
                <w:color w:val="auto"/>
                <w:kern w:val="2"/>
                <w:sz w:val="15"/>
                <w:szCs w:val="15"/>
              </w:rPr>
            </w:pPr>
          </w:p>
        </w:tc>
        <w:tc>
          <w:tcPr>
            <w:tcW w:w="1127" w:type="dxa"/>
            <w:vAlign w:val="center"/>
          </w:tcPr>
          <w:p>
            <w:pPr>
              <w:spacing w:after="0"/>
              <w:jc w:val="center"/>
              <w:rPr>
                <w:rFonts w:hint="default" w:ascii="Times New Roman" w:hAnsi="Times New Roman" w:cs="Times New Roman"/>
                <w:color w:val="auto"/>
                <w:kern w:val="2"/>
                <w:sz w:val="15"/>
                <w:szCs w:val="15"/>
              </w:rPr>
            </w:pPr>
          </w:p>
        </w:tc>
        <w:tc>
          <w:tcPr>
            <w:tcW w:w="1020" w:type="dxa"/>
            <w:vAlign w:val="center"/>
          </w:tcPr>
          <w:p>
            <w:pPr>
              <w:spacing w:after="0"/>
              <w:jc w:val="center"/>
              <w:rPr>
                <w:rFonts w:hint="default" w:ascii="Times New Roman" w:hAnsi="Times New Roman" w:cs="Times New Roman"/>
                <w:color w:val="auto"/>
                <w:kern w:val="2"/>
                <w:sz w:val="15"/>
                <w:szCs w:val="15"/>
              </w:rPr>
            </w:pPr>
          </w:p>
        </w:tc>
        <w:tc>
          <w:tcPr>
            <w:tcW w:w="1128" w:type="dxa"/>
            <w:gridSpan w:val="2"/>
            <w:vAlign w:val="center"/>
          </w:tcPr>
          <w:p>
            <w:pPr>
              <w:spacing w:after="0"/>
              <w:jc w:val="center"/>
              <w:rPr>
                <w:rFonts w:hint="default" w:ascii="Times New Roman" w:hAnsi="Times New Roman" w:cs="Times New Roman"/>
                <w:color w:val="auto"/>
                <w:kern w:val="2"/>
                <w:sz w:val="15"/>
                <w:szCs w:val="15"/>
              </w:rPr>
            </w:pPr>
          </w:p>
        </w:tc>
        <w:tc>
          <w:tcPr>
            <w:tcW w:w="1063" w:type="dxa"/>
            <w:vAlign w:val="center"/>
          </w:tcPr>
          <w:p>
            <w:pPr>
              <w:spacing w:after="0"/>
              <w:jc w:val="center"/>
              <w:rPr>
                <w:rFonts w:hint="default" w:ascii="Times New Roman" w:hAnsi="Times New Roman" w:cs="Times New Roman"/>
                <w:color w:val="auto"/>
                <w:kern w:val="2"/>
                <w:sz w:val="15"/>
                <w:szCs w:val="15"/>
              </w:rPr>
            </w:pPr>
          </w:p>
        </w:tc>
        <w:tc>
          <w:tcPr>
            <w:tcW w:w="1050" w:type="dxa"/>
            <w:vAlign w:val="center"/>
          </w:tcPr>
          <w:p>
            <w:pPr>
              <w:spacing w:after="0"/>
              <w:jc w:val="center"/>
              <w:rPr>
                <w:rFonts w:hint="default" w:ascii="Times New Roman" w:hAnsi="Times New Roman" w:cs="Times New Roman"/>
                <w:color w:val="auto"/>
                <w:kern w:val="2"/>
                <w:sz w:val="15"/>
                <w:szCs w:val="15"/>
              </w:rPr>
            </w:pPr>
          </w:p>
        </w:tc>
        <w:tc>
          <w:tcPr>
            <w:tcW w:w="1995" w:type="dxa"/>
            <w:vAlign w:val="center"/>
          </w:tcPr>
          <w:p>
            <w:pPr>
              <w:spacing w:after="0"/>
              <w:jc w:val="center"/>
              <w:rPr>
                <w:rFonts w:hint="default" w:ascii="Times New Roman" w:hAnsi="Times New Roman" w:cs="Times New Roman"/>
                <w:color w:val="auto"/>
                <w:kern w:val="2"/>
                <w:sz w:val="15"/>
                <w:szCs w:val="15"/>
              </w:rPr>
            </w:pPr>
          </w:p>
        </w:tc>
        <w:tc>
          <w:tcPr>
            <w:tcW w:w="1140" w:type="dxa"/>
            <w:vAlign w:val="center"/>
          </w:tcPr>
          <w:p>
            <w:pPr>
              <w:spacing w:after="0"/>
              <w:jc w:val="center"/>
              <w:rPr>
                <w:rFonts w:hint="default" w:ascii="Times New Roman" w:hAnsi="Times New Roman" w:cs="Times New Roman"/>
                <w:color w:val="auto"/>
                <w:kern w:val="2"/>
                <w:sz w:val="15"/>
                <w:szCs w:val="15"/>
              </w:rPr>
            </w:pPr>
          </w:p>
        </w:tc>
        <w:tc>
          <w:tcPr>
            <w:tcW w:w="1116" w:type="dxa"/>
            <w:gridSpan w:val="2"/>
            <w:vAlign w:val="center"/>
          </w:tcPr>
          <w:p>
            <w:pPr>
              <w:spacing w:after="0"/>
              <w:jc w:val="center"/>
              <w:rPr>
                <w:rFonts w:hint="default" w:ascii="Times New Roman" w:hAnsi="Times New Roman" w:cs="Times New Roman"/>
                <w:color w:val="auto"/>
                <w:kern w:val="2"/>
                <w:sz w:val="15"/>
                <w:szCs w:val="15"/>
              </w:rPr>
            </w:pPr>
          </w:p>
        </w:tc>
        <w:tc>
          <w:tcPr>
            <w:tcW w:w="1133" w:type="dxa"/>
            <w:vAlign w:val="center"/>
          </w:tcPr>
          <w:p>
            <w:pPr>
              <w:spacing w:after="0"/>
              <w:jc w:val="center"/>
              <w:rPr>
                <w:rFonts w:hint="default" w:ascii="Times New Roman" w:hAnsi="Times New Roman" w:cs="Times New Roman"/>
                <w:color w:val="auto"/>
                <w:kern w:val="2"/>
                <w:sz w:val="15"/>
                <w:szCs w:val="15"/>
              </w:rPr>
            </w:pPr>
          </w:p>
        </w:tc>
        <w:tc>
          <w:tcPr>
            <w:tcW w:w="813" w:type="dxa"/>
            <w:vAlign w:val="center"/>
          </w:tcPr>
          <w:p>
            <w:pPr>
              <w:spacing w:after="0"/>
              <w:jc w:val="center"/>
              <w:rPr>
                <w:rFonts w:hint="default" w:ascii="Times New Roman" w:hAnsi="Times New Roman" w:cs="Times New Roman"/>
                <w:color w:val="auto"/>
                <w:kern w:val="2"/>
                <w:sz w:val="15"/>
                <w:szCs w:val="15"/>
              </w:rPr>
            </w:pPr>
          </w:p>
        </w:tc>
      </w:tr>
    </w:tbl>
    <w:p>
      <w:pPr>
        <w:rPr>
          <w:rFonts w:hint="default" w:ascii="Times New Roman" w:hAnsi="Times New Roman" w:cs="Times New Roman"/>
          <w:color w:val="auto"/>
        </w:rPr>
      </w:pPr>
      <w:r>
        <w:rPr>
          <w:rFonts w:hint="default" w:ascii="Times New Roman" w:hAnsi="Times New Roman" w:cs="Times New Roman"/>
          <w:b/>
          <w:color w:val="auto"/>
          <w:sz w:val="15"/>
          <w:szCs w:val="15"/>
        </w:rPr>
        <w:t>注</w:t>
      </w:r>
      <w:r>
        <w:rPr>
          <w:rFonts w:hint="default" w:ascii="Times New Roman" w:hAnsi="Times New Roman" w:cs="Times New Roman"/>
          <w:color w:val="auto"/>
          <w:sz w:val="15"/>
          <w:szCs w:val="15"/>
        </w:rPr>
        <w:t>：1、</w:t>
      </w:r>
      <w:r>
        <w:rPr>
          <w:rFonts w:hint="default" w:ascii="Times New Roman" w:hAnsi="Times New Roman" w:cs="Times New Roman"/>
          <w:color w:val="auto"/>
          <w:spacing w:val="-4"/>
          <w:sz w:val="15"/>
          <w:szCs w:val="15"/>
        </w:rPr>
        <w:t>排放增减量：（+）表示增加，（-）表示减少。2、(12)=(6)-(8)-(11)，（9）= (4)-(5)-(8)- (11) +（1）。3、计量单位：废水排放量——万</w:t>
      </w:r>
      <w:r>
        <w:rPr>
          <w:rFonts w:hint="eastAsia" w:ascii="Times New Roman" w:hAnsi="Times New Roman" w:cs="Times New Roman"/>
          <w:color w:val="auto"/>
          <w:spacing w:val="-4"/>
          <w:sz w:val="15"/>
          <w:szCs w:val="15"/>
          <w:lang w:eastAsia="zh-CN"/>
        </w:rPr>
        <w:t>万件</w:t>
      </w:r>
      <w:r>
        <w:rPr>
          <w:rFonts w:hint="default" w:ascii="Times New Roman" w:hAnsi="Times New Roman" w:cs="Times New Roman"/>
          <w:color w:val="auto"/>
          <w:spacing w:val="-4"/>
          <w:sz w:val="15"/>
          <w:szCs w:val="15"/>
        </w:rPr>
        <w:t>/年；废气排放量——万标立方米/年；工业固体废物排放</w:t>
      </w:r>
      <w:r>
        <w:rPr>
          <w:rFonts w:hint="default" w:ascii="Times New Roman" w:hAnsi="Times New Roman" w:cs="Times New Roman"/>
          <w:color w:val="auto"/>
          <w:sz w:val="15"/>
          <w:szCs w:val="15"/>
        </w:rPr>
        <w:t>量——万</w:t>
      </w:r>
      <w:r>
        <w:rPr>
          <w:rFonts w:hint="eastAsia" w:ascii="Times New Roman" w:hAnsi="Times New Roman" w:cs="Times New Roman"/>
          <w:color w:val="auto"/>
          <w:sz w:val="15"/>
          <w:szCs w:val="15"/>
          <w:lang w:eastAsia="zh-CN"/>
        </w:rPr>
        <w:t>万件</w:t>
      </w:r>
      <w:r>
        <w:rPr>
          <w:rFonts w:hint="default" w:ascii="Times New Roman" w:hAnsi="Times New Roman" w:cs="Times New Roman"/>
          <w:color w:val="auto"/>
          <w:sz w:val="15"/>
          <w:szCs w:val="15"/>
        </w:rPr>
        <w:t>/年；水污染物排放浓度——毫克/升</w:t>
      </w:r>
    </w:p>
    <w:p>
      <w:pPr>
        <w:rPr>
          <w:rFonts w:hint="default" w:ascii="Times New Roman" w:hAnsi="Times New Roman" w:cs="Times New Roman"/>
          <w:color w:val="0000FF"/>
        </w:rPr>
        <w:sectPr>
          <w:headerReference r:id="rId7" w:type="default"/>
          <w:footerReference r:id="rId8" w:type="default"/>
          <w:pgSz w:w="16838" w:h="11906" w:orient="landscape"/>
          <w:pgMar w:top="1134" w:right="1417" w:bottom="1020" w:left="1417" w:header="851" w:footer="709" w:gutter="0"/>
          <w:pgBorders>
            <w:top w:val="none" w:sz="0" w:space="0"/>
            <w:left w:val="none" w:sz="0" w:space="0"/>
            <w:bottom w:val="none" w:sz="0" w:space="0"/>
            <w:right w:val="none" w:sz="0" w:space="0"/>
          </w:pgBorders>
          <w:pgNumType w:fmt="decimal"/>
          <w:cols w:space="720" w:num="1"/>
          <w:docGrid w:type="lines" w:linePitch="312" w:charSpace="0"/>
        </w:sectPr>
      </w:pPr>
    </w:p>
    <w:p>
      <w:pPr>
        <w:pStyle w:val="7"/>
        <w:tabs>
          <w:tab w:val="left" w:pos="735"/>
          <w:tab w:val="left" w:pos="3150"/>
        </w:tabs>
        <w:spacing w:before="0" w:after="120" w:line="240" w:lineRule="auto"/>
        <w:ind w:left="0" w:firstLine="0"/>
        <w:rPr>
          <w:rFonts w:hint="default" w:ascii="Times New Roman" w:hAnsi="Times New Roman" w:cs="Times New Roman" w:eastAsiaTheme="minorEastAsia"/>
          <w:b/>
          <w:bCs w:val="0"/>
          <w:spacing w:val="0"/>
          <w:sz w:val="24"/>
          <w:szCs w:val="24"/>
        </w:rPr>
      </w:pPr>
      <w:bookmarkStart w:id="1" w:name="_Toc16381"/>
      <w:r>
        <w:rPr>
          <w:rFonts w:hint="default" w:ascii="Times New Roman" w:hAnsi="Times New Roman" w:cs="Times New Roman" w:eastAsiaTheme="minorEastAsia"/>
          <w:b/>
          <w:bCs w:val="0"/>
          <w:spacing w:val="0"/>
          <w:sz w:val="24"/>
          <w:szCs w:val="24"/>
        </w:rPr>
        <w:t>附件1：委托书</w:t>
      </w:r>
      <w:bookmarkEnd w:id="1"/>
    </w:p>
    <w:p>
      <w:pPr>
        <w:jc w:val="center"/>
        <w:rPr>
          <w:rFonts w:hint="default" w:ascii="Times New Roman" w:hAnsi="Times New Roman" w:cs="Times New Roman"/>
          <w:sz w:val="32"/>
          <w:szCs w:val="32"/>
          <w:highlight w:val="none"/>
        </w:rPr>
      </w:pPr>
      <w:r>
        <w:rPr>
          <w:rFonts w:hint="default" w:ascii="Times New Roman" w:hAnsi="Times New Roman" w:cs="Times New Roman"/>
          <w:sz w:val="32"/>
          <w:szCs w:val="32"/>
        </w:rPr>
        <w:t>关于委</w:t>
      </w:r>
      <w:r>
        <w:rPr>
          <w:rFonts w:hint="default" w:ascii="Times New Roman" w:hAnsi="Times New Roman" w:cs="Times New Roman"/>
          <w:sz w:val="32"/>
          <w:szCs w:val="32"/>
          <w:highlight w:val="none"/>
        </w:rPr>
        <w:t>托</w:t>
      </w:r>
      <w:r>
        <w:rPr>
          <w:rFonts w:hint="eastAsia" w:ascii="Times New Roman" w:hAnsi="Times New Roman" w:cs="Times New Roman"/>
          <w:sz w:val="32"/>
          <w:szCs w:val="32"/>
          <w:highlight w:val="none"/>
          <w:lang w:eastAsia="zh-CN"/>
        </w:rPr>
        <w:t>山东鼎立环境检测有限公司</w:t>
      </w:r>
      <w:r>
        <w:rPr>
          <w:rFonts w:hint="default" w:ascii="Times New Roman" w:hAnsi="Times New Roman" w:cs="Times New Roman"/>
          <w:sz w:val="32"/>
          <w:szCs w:val="32"/>
          <w:highlight w:val="none"/>
        </w:rPr>
        <w:t>进行</w:t>
      </w:r>
    </w:p>
    <w:p>
      <w:pPr>
        <w:jc w:val="center"/>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建设项目竣工环境保护验收监测的函</w:t>
      </w:r>
    </w:p>
    <w:p>
      <w:pPr>
        <w:pStyle w:val="36"/>
        <w:rPr>
          <w:rFonts w:hint="default" w:ascii="Times New Roman" w:hAnsi="Times New Roman" w:cs="Times New Roman"/>
          <w:color w:val="FF0000"/>
          <w:sz w:val="32"/>
          <w:szCs w:val="32"/>
        </w:rPr>
      </w:pPr>
    </w:p>
    <w:p>
      <w:pPr>
        <w:pStyle w:val="8"/>
        <w:spacing w:line="360" w:lineRule="auto"/>
        <w:ind w:firstLine="0"/>
        <w:rPr>
          <w:rFonts w:hint="default" w:ascii="Times New Roman" w:hAnsi="Times New Roman" w:cs="Times New Roman"/>
          <w:sz w:val="28"/>
          <w:szCs w:val="28"/>
        </w:rPr>
      </w:pPr>
      <w:r>
        <w:rPr>
          <w:rFonts w:hint="eastAsia" w:ascii="Times New Roman" w:hAnsi="Times New Roman" w:cs="Times New Roman"/>
          <w:sz w:val="28"/>
          <w:szCs w:val="28"/>
          <w:lang w:eastAsia="zh-CN"/>
        </w:rPr>
        <w:t>山东鼎立环境检测有限公司</w:t>
      </w:r>
      <w:r>
        <w:rPr>
          <w:rFonts w:hint="default" w:ascii="Times New Roman" w:hAnsi="Times New Roman" w:cs="Times New Roman"/>
          <w:sz w:val="28"/>
          <w:szCs w:val="28"/>
        </w:rPr>
        <w:t>：</w:t>
      </w:r>
    </w:p>
    <w:p>
      <w:pPr>
        <w:pStyle w:val="8"/>
        <w:spacing w:line="360" w:lineRule="auto"/>
        <w:ind w:firstLine="570" w:firstLineChars="200"/>
        <w:rPr>
          <w:rFonts w:hint="default" w:ascii="Times New Roman" w:hAnsi="Times New Roman" w:cs="Times New Roman"/>
          <w:sz w:val="28"/>
          <w:szCs w:val="28"/>
        </w:rPr>
      </w:pPr>
      <w:r>
        <w:rPr>
          <w:rFonts w:hint="default" w:ascii="Times New Roman" w:hAnsi="Times New Roman" w:cs="Times New Roman"/>
          <w:sz w:val="28"/>
          <w:szCs w:val="28"/>
          <w:u w:val="single"/>
        </w:rPr>
        <w:t xml:space="preserve"> </w:t>
      </w:r>
      <w:r>
        <w:rPr>
          <w:rFonts w:hint="eastAsia" w:ascii="Times New Roman" w:hAnsi="Times New Roman" w:cs="Times New Roman"/>
          <w:sz w:val="28"/>
          <w:szCs w:val="28"/>
          <w:u w:val="single"/>
          <w:lang w:eastAsia="zh-CN"/>
        </w:rPr>
        <w:t>木托盘、包装木箱生产线建设项目</w:t>
      </w:r>
      <w:r>
        <w:rPr>
          <w:rFonts w:hint="eastAsia" w:cs="Times New Roman"/>
          <w:sz w:val="28"/>
          <w:szCs w:val="28"/>
          <w:u w:val="single"/>
          <w:lang w:val="en-US" w:eastAsia="zh-CN"/>
        </w:rPr>
        <w:t xml:space="preserve"> </w:t>
      </w:r>
      <w:r>
        <w:rPr>
          <w:rFonts w:hint="default" w:ascii="Times New Roman" w:hAnsi="Times New Roman" w:cs="Times New Roman"/>
          <w:sz w:val="28"/>
          <w:szCs w:val="28"/>
        </w:rPr>
        <w:t>于</w:t>
      </w:r>
      <w:r>
        <w:rPr>
          <w:rFonts w:hint="eastAsia" w:ascii="Times New Roman" w:hAnsi="Times New Roman" w:cs="Times New Roman"/>
          <w:sz w:val="28"/>
          <w:szCs w:val="28"/>
          <w:lang w:val="en-US" w:eastAsia="zh-CN"/>
        </w:rPr>
        <w:t>2022</w:t>
      </w:r>
      <w:r>
        <w:rPr>
          <w:rFonts w:hint="default" w:ascii="Times New Roman" w:hAnsi="Times New Roman" w:cs="Times New Roman"/>
          <w:sz w:val="28"/>
          <w:szCs w:val="28"/>
          <w:lang w:eastAsia="zh-CN"/>
        </w:rPr>
        <w:t>年</w:t>
      </w:r>
      <w:r>
        <w:rPr>
          <w:rFonts w:hint="eastAsia" w:ascii="Times New Roman" w:hAnsi="Times New Roman" w:cs="Times New Roman"/>
          <w:sz w:val="28"/>
          <w:szCs w:val="28"/>
          <w:lang w:val="en-US" w:eastAsia="zh-CN"/>
        </w:rPr>
        <w:t>9</w:t>
      </w:r>
      <w:r>
        <w:rPr>
          <w:rFonts w:hint="default" w:ascii="Times New Roman" w:hAnsi="Times New Roman" w:cs="Times New Roman"/>
          <w:sz w:val="28"/>
          <w:szCs w:val="28"/>
          <w:lang w:eastAsia="zh-CN"/>
        </w:rPr>
        <w:t>月</w:t>
      </w:r>
      <w:r>
        <w:rPr>
          <w:rFonts w:hint="eastAsia" w:cs="Times New Roman"/>
          <w:sz w:val="28"/>
          <w:szCs w:val="28"/>
          <w:lang w:val="en-US" w:eastAsia="zh-CN"/>
        </w:rPr>
        <w:t>委托烟台嘉隆技术咨询有限公司编写了建设项目环境影响报告表，并于</w:t>
      </w:r>
      <w:r>
        <w:rPr>
          <w:rFonts w:hint="eastAsia" w:ascii="Times New Roman" w:hAnsi="Times New Roman" w:cs="Times New Roman"/>
          <w:sz w:val="28"/>
          <w:szCs w:val="28"/>
          <w:lang w:val="en-US" w:eastAsia="zh-CN"/>
        </w:rPr>
        <w:t>2022</w:t>
      </w:r>
      <w:r>
        <w:rPr>
          <w:rFonts w:hint="eastAsia" w:ascii="Times New Roman" w:hAnsi="Times New Roman" w:cs="Times New Roman"/>
          <w:sz w:val="28"/>
          <w:szCs w:val="28"/>
          <w:lang w:eastAsia="zh-CN"/>
        </w:rPr>
        <w:t>年</w:t>
      </w:r>
      <w:r>
        <w:rPr>
          <w:rFonts w:hint="eastAsia" w:ascii="Times New Roman" w:hAnsi="Times New Roman" w:cs="Times New Roman"/>
          <w:sz w:val="28"/>
          <w:szCs w:val="28"/>
          <w:lang w:val="en-US" w:eastAsia="zh-CN"/>
        </w:rPr>
        <w:t>9</w:t>
      </w:r>
      <w:r>
        <w:rPr>
          <w:rFonts w:hint="eastAsia" w:ascii="Times New Roman" w:hAnsi="Times New Roman" w:cs="Times New Roman"/>
          <w:sz w:val="28"/>
          <w:szCs w:val="28"/>
          <w:lang w:eastAsia="zh-CN"/>
        </w:rPr>
        <w:t>月</w:t>
      </w:r>
      <w:r>
        <w:rPr>
          <w:rFonts w:hint="eastAsia" w:ascii="Times New Roman" w:hAnsi="Times New Roman" w:cs="Times New Roman"/>
          <w:sz w:val="28"/>
          <w:szCs w:val="28"/>
          <w:lang w:val="en-US" w:eastAsia="zh-CN"/>
        </w:rPr>
        <w:t>26</w:t>
      </w:r>
      <w:r>
        <w:rPr>
          <w:rFonts w:hint="eastAsia" w:ascii="Times New Roman" w:hAnsi="Times New Roman" w:cs="Times New Roman"/>
          <w:sz w:val="28"/>
          <w:szCs w:val="28"/>
          <w:lang w:eastAsia="zh-CN"/>
        </w:rPr>
        <w:t>日</w:t>
      </w:r>
      <w:r>
        <w:rPr>
          <w:rFonts w:hint="eastAsia" w:cs="Times New Roman"/>
          <w:sz w:val="28"/>
          <w:szCs w:val="28"/>
          <w:lang w:val="en-US" w:eastAsia="zh-CN"/>
        </w:rPr>
        <w:t>取得了烟台市生态环境局龙口分局的审批意见。</w:t>
      </w:r>
    </w:p>
    <w:p>
      <w:pPr>
        <w:pStyle w:val="8"/>
        <w:spacing w:line="360" w:lineRule="auto"/>
        <w:ind w:firstLine="570" w:firstLineChars="200"/>
        <w:rPr>
          <w:rFonts w:hint="default" w:ascii="Times New Roman" w:hAnsi="Times New Roman" w:cs="Times New Roman"/>
          <w:sz w:val="28"/>
          <w:szCs w:val="28"/>
        </w:rPr>
      </w:pPr>
      <w:r>
        <w:rPr>
          <w:rFonts w:hint="default" w:ascii="Times New Roman" w:hAnsi="Times New Roman" w:cs="Times New Roman"/>
          <w:sz w:val="28"/>
          <w:szCs w:val="28"/>
        </w:rPr>
        <w:t>本项目为</w:t>
      </w:r>
      <w:r>
        <w:rPr>
          <w:rFonts w:hint="eastAsia" w:ascii="Times New Roman" w:hAnsi="Times New Roman" w:cs="Times New Roman"/>
          <w:sz w:val="28"/>
          <w:szCs w:val="28"/>
          <w:lang w:eastAsia="zh-CN"/>
        </w:rPr>
        <w:t>新建</w:t>
      </w:r>
      <w:r>
        <w:rPr>
          <w:rFonts w:hint="default" w:ascii="Times New Roman" w:hAnsi="Times New Roman" w:cs="Times New Roman"/>
          <w:sz w:val="28"/>
          <w:szCs w:val="28"/>
        </w:rPr>
        <w:t>项目。验收监测需要提供的资料齐全，现委托</w:t>
      </w:r>
      <w:r>
        <w:rPr>
          <w:rFonts w:hint="eastAsia" w:ascii="Times New Roman" w:hAnsi="Times New Roman" w:cs="Times New Roman"/>
          <w:sz w:val="28"/>
          <w:szCs w:val="28"/>
          <w:lang w:eastAsia="zh-CN"/>
        </w:rPr>
        <w:t>山东鼎立环境检测有限公司</w:t>
      </w:r>
      <w:r>
        <w:rPr>
          <w:rFonts w:hint="default" w:ascii="Times New Roman" w:hAnsi="Times New Roman" w:cs="Times New Roman"/>
          <w:sz w:val="28"/>
          <w:szCs w:val="28"/>
        </w:rPr>
        <w:t>进行建设项目竣工环境保护验收监测。</w:t>
      </w:r>
    </w:p>
    <w:p>
      <w:pPr>
        <w:pStyle w:val="8"/>
        <w:spacing w:line="360" w:lineRule="auto"/>
        <w:ind w:firstLine="570" w:firstLineChars="200"/>
        <w:rPr>
          <w:rFonts w:hint="default" w:ascii="Times New Roman" w:hAnsi="Times New Roman" w:cs="Times New Roman"/>
          <w:sz w:val="28"/>
          <w:szCs w:val="28"/>
        </w:rPr>
      </w:pPr>
      <w:r>
        <w:rPr>
          <w:rFonts w:hint="default" w:ascii="Times New Roman" w:hAnsi="Times New Roman" w:cs="Times New Roman"/>
          <w:sz w:val="28"/>
          <w:szCs w:val="28"/>
        </w:rPr>
        <w:t>特此函告。</w:t>
      </w:r>
    </w:p>
    <w:p>
      <w:pPr>
        <w:pStyle w:val="8"/>
        <w:spacing w:line="360" w:lineRule="auto"/>
        <w:ind w:firstLine="570" w:firstLineChars="200"/>
        <w:rPr>
          <w:rFonts w:hint="default" w:ascii="Times New Roman" w:hAnsi="Times New Roman" w:cs="Times New Roman"/>
          <w:color w:val="FF0000"/>
          <w:sz w:val="24"/>
          <w:szCs w:val="24"/>
        </w:rPr>
      </w:pPr>
      <w:r>
        <w:rPr>
          <w:rFonts w:hint="default" w:ascii="Times New Roman" w:hAnsi="Times New Roman" w:cs="Times New Roman"/>
          <w:sz w:val="28"/>
          <w:szCs w:val="28"/>
        </w:rPr>
        <w:t xml:space="preserve"> </w:t>
      </w:r>
    </w:p>
    <w:p>
      <w:pPr>
        <w:pStyle w:val="8"/>
        <w:spacing w:line="360" w:lineRule="auto"/>
        <w:ind w:firstLine="490" w:firstLineChars="200"/>
        <w:rPr>
          <w:rFonts w:hint="default" w:ascii="Times New Roman" w:hAnsi="Times New Roman" w:cs="Times New Roman"/>
          <w:color w:val="FF0000"/>
          <w:sz w:val="24"/>
          <w:szCs w:val="24"/>
        </w:rPr>
      </w:pPr>
    </w:p>
    <w:p>
      <w:pPr>
        <w:pStyle w:val="8"/>
        <w:spacing w:line="360" w:lineRule="auto"/>
        <w:ind w:firstLine="0"/>
        <w:jc w:val="right"/>
        <w:rPr>
          <w:rFonts w:hint="default" w:ascii="Times New Roman" w:hAnsi="Times New Roman" w:cs="Times New Roman"/>
          <w:sz w:val="28"/>
          <w:szCs w:val="28"/>
        </w:rPr>
      </w:pPr>
      <w:r>
        <w:rPr>
          <w:rFonts w:hint="default" w:ascii="Times New Roman" w:hAnsi="Times New Roman" w:cs="Times New Roman"/>
          <w:sz w:val="28"/>
          <w:szCs w:val="28"/>
        </w:rPr>
        <w:t>烟台嘉隆技术咨询有限公司（单位盖章）</w:t>
      </w:r>
    </w:p>
    <w:p>
      <w:pPr>
        <w:pStyle w:val="8"/>
        <w:spacing w:line="360" w:lineRule="auto"/>
        <w:ind w:firstLine="570" w:firstLineChars="200"/>
        <w:jc w:val="right"/>
        <w:rPr>
          <w:rFonts w:hint="default" w:ascii="Times New Roman" w:hAnsi="Times New Roman" w:cs="Times New Roman"/>
          <w:sz w:val="28"/>
          <w:szCs w:val="28"/>
        </w:rPr>
        <w:sectPr>
          <w:headerReference r:id="rId9" w:type="default"/>
          <w:footerReference r:id="rId10" w:type="default"/>
          <w:pgSz w:w="11906" w:h="16838"/>
          <w:pgMar w:top="1803" w:right="1440" w:bottom="1803" w:left="1440" w:header="851" w:footer="992" w:gutter="0"/>
          <w:cols w:space="0" w:num="1"/>
          <w:docGrid w:type="linesAndChars" w:linePitch="560" w:charSpace="1228"/>
        </w:sectPr>
      </w:pPr>
      <w:r>
        <w:rPr>
          <w:rFonts w:hint="default" w:ascii="Times New Roman" w:hAnsi="Times New Roman" w:cs="Times New Roman"/>
          <w:sz w:val="28"/>
          <w:szCs w:val="28"/>
        </w:rPr>
        <w:t>20</w:t>
      </w:r>
      <w:r>
        <w:rPr>
          <w:rFonts w:hint="default" w:ascii="Times New Roman" w:hAnsi="Times New Roman" w:cs="Times New Roman"/>
          <w:sz w:val="28"/>
          <w:szCs w:val="28"/>
          <w:lang w:val="en-US" w:eastAsia="zh-CN"/>
        </w:rPr>
        <w:t>2</w:t>
      </w:r>
      <w:r>
        <w:rPr>
          <w:rFonts w:hint="eastAsia" w:ascii="Times New Roman" w:hAnsi="Times New Roman" w:cs="Times New Roman"/>
          <w:sz w:val="28"/>
          <w:szCs w:val="28"/>
          <w:lang w:val="en-US" w:eastAsia="zh-CN"/>
        </w:rPr>
        <w:t>2</w:t>
      </w:r>
      <w:r>
        <w:rPr>
          <w:rFonts w:hint="default" w:ascii="Times New Roman" w:hAnsi="Times New Roman" w:cs="Times New Roman"/>
          <w:sz w:val="28"/>
          <w:szCs w:val="28"/>
        </w:rPr>
        <w:t>年</w:t>
      </w:r>
      <w:r>
        <w:rPr>
          <w:rFonts w:hint="eastAsia" w:ascii="Times New Roman" w:hAnsi="Times New Roman" w:cs="Times New Roman"/>
          <w:sz w:val="28"/>
          <w:szCs w:val="28"/>
          <w:lang w:val="en-US" w:eastAsia="zh-CN"/>
        </w:rPr>
        <w:t>10</w:t>
      </w:r>
      <w:r>
        <w:rPr>
          <w:rFonts w:hint="default" w:ascii="Times New Roman" w:hAnsi="Times New Roman" w:cs="Times New Roman"/>
          <w:sz w:val="28"/>
          <w:szCs w:val="28"/>
        </w:rPr>
        <w:t>月</w:t>
      </w:r>
      <w:r>
        <w:rPr>
          <w:rFonts w:hint="eastAsia" w:ascii="Times New Roman" w:hAnsi="Times New Roman" w:cs="Times New Roman"/>
          <w:sz w:val="28"/>
          <w:szCs w:val="28"/>
          <w:lang w:val="en-US" w:eastAsia="zh-CN"/>
        </w:rPr>
        <w:t>15</w:t>
      </w:r>
      <w:r>
        <w:rPr>
          <w:rFonts w:hint="default" w:ascii="Times New Roman" w:hAnsi="Times New Roman" w:cs="Times New Roman"/>
          <w:sz w:val="28"/>
          <w:szCs w:val="28"/>
        </w:rPr>
        <w:t>日</w:t>
      </w:r>
    </w:p>
    <w:p>
      <w:pPr>
        <w:pStyle w:val="8"/>
        <w:spacing w:line="360" w:lineRule="auto"/>
        <w:ind w:firstLine="570" w:firstLineChars="200"/>
        <w:jc w:val="right"/>
        <w:rPr>
          <w:rFonts w:hint="default" w:ascii="Times New Roman" w:hAnsi="Times New Roman" w:cs="Times New Roman"/>
          <w:sz w:val="28"/>
          <w:szCs w:val="28"/>
        </w:rPr>
        <w:sectPr>
          <w:pgSz w:w="11906" w:h="16838"/>
          <w:pgMar w:top="1803" w:right="1440" w:bottom="1803" w:left="1440" w:header="851" w:footer="992" w:gutter="0"/>
          <w:cols w:space="0" w:num="1"/>
          <w:docGrid w:type="linesAndChars" w:linePitch="560" w:charSpace="1228"/>
        </w:sectPr>
      </w:pPr>
    </w:p>
    <w:p>
      <w:pPr>
        <w:pStyle w:val="7"/>
        <w:tabs>
          <w:tab w:val="left" w:pos="735"/>
          <w:tab w:val="left" w:pos="3150"/>
        </w:tabs>
        <w:spacing w:before="0" w:after="120" w:line="240" w:lineRule="auto"/>
        <w:ind w:left="0" w:firstLine="0"/>
        <w:rPr>
          <w:rFonts w:hint="default" w:ascii="Times New Roman" w:hAnsi="Times New Roman" w:cs="Times New Roman" w:eastAsiaTheme="minorEastAsia"/>
          <w:b/>
          <w:bCs w:val="0"/>
          <w:spacing w:val="0"/>
          <w:sz w:val="24"/>
          <w:szCs w:val="24"/>
        </w:rPr>
      </w:pPr>
      <w:r>
        <w:rPr>
          <w:rFonts w:hint="default" w:ascii="Times New Roman" w:hAnsi="Times New Roman" w:cs="Times New Roman" w:eastAsiaTheme="minorEastAsia"/>
          <w:b/>
          <w:bCs w:val="0"/>
          <w:spacing w:val="0"/>
          <w:sz w:val="24"/>
          <w:szCs w:val="24"/>
        </w:rPr>
        <w:t>附件</w:t>
      </w:r>
      <w:r>
        <w:rPr>
          <w:rFonts w:hint="default" w:ascii="Times New Roman" w:hAnsi="Times New Roman" w:cs="Times New Roman" w:eastAsiaTheme="minorEastAsia"/>
          <w:b/>
          <w:bCs w:val="0"/>
          <w:spacing w:val="0"/>
          <w:sz w:val="24"/>
          <w:szCs w:val="24"/>
          <w:lang w:val="en-US" w:eastAsia="zh-CN"/>
        </w:rPr>
        <w:t>2</w:t>
      </w:r>
      <w:r>
        <w:rPr>
          <w:rFonts w:hint="default" w:ascii="Times New Roman" w:hAnsi="Times New Roman" w:cs="Times New Roman" w:eastAsiaTheme="minorEastAsia"/>
          <w:b/>
          <w:bCs w:val="0"/>
          <w:spacing w:val="0"/>
          <w:sz w:val="24"/>
          <w:szCs w:val="24"/>
        </w:rPr>
        <w:t>：工况证明</w:t>
      </w:r>
    </w:p>
    <w:p>
      <w:pPr>
        <w:pStyle w:val="36"/>
        <w:jc w:val="center"/>
        <w:rPr>
          <w:rFonts w:hint="default" w:ascii="Times New Roman" w:hAnsi="Times New Roman" w:cs="Times New Roman" w:eastAsiaTheme="minorEastAsia"/>
          <w:bCs/>
          <w:color w:val="auto"/>
          <w:sz w:val="32"/>
          <w:szCs w:val="32"/>
        </w:rPr>
      </w:pPr>
      <w:r>
        <w:rPr>
          <w:rFonts w:hint="default" w:ascii="Times New Roman" w:hAnsi="Times New Roman" w:cs="Times New Roman" w:eastAsiaTheme="minorEastAsia"/>
          <w:bCs/>
          <w:color w:val="auto"/>
          <w:sz w:val="32"/>
          <w:szCs w:val="32"/>
        </w:rPr>
        <w:t>工况证明</w:t>
      </w:r>
    </w:p>
    <w:p>
      <w:pPr>
        <w:pStyle w:val="36"/>
        <w:rPr>
          <w:rFonts w:hint="default" w:ascii="Times New Roman" w:hAnsi="Times New Roman" w:cs="Times New Roman" w:eastAsiaTheme="minorEastAsia"/>
          <w:bCs/>
          <w:color w:val="auto"/>
        </w:rPr>
      </w:pPr>
    </w:p>
    <w:p>
      <w:pPr>
        <w:pStyle w:val="36"/>
        <w:rPr>
          <w:rFonts w:hint="default" w:ascii="Times New Roman" w:hAnsi="Times New Roman" w:cs="Times New Roman" w:eastAsiaTheme="minorEastAsia"/>
          <w:bCs/>
          <w:color w:val="auto"/>
        </w:rPr>
      </w:pPr>
    </w:p>
    <w:p>
      <w:pPr>
        <w:rPr>
          <w:rFonts w:hint="default" w:ascii="Times New Roman" w:hAnsi="Times New Roman" w:cs="Times New Roman"/>
        </w:rPr>
      </w:pPr>
    </w:p>
    <w:p>
      <w:pPr>
        <w:spacing w:line="360" w:lineRule="auto"/>
        <w:ind w:firstLine="560" w:firstLineChars="20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color w:val="auto"/>
          <w:sz w:val="28"/>
          <w:szCs w:val="28"/>
          <w:highlight w:val="none"/>
        </w:rPr>
        <w:t>我单位监测期间：</w:t>
      </w:r>
      <w:r>
        <w:rPr>
          <w:rFonts w:hint="eastAsia" w:ascii="Times New Roman" w:hAnsi="Times New Roman" w:cs="Times New Roman"/>
          <w:color w:val="auto"/>
          <w:sz w:val="28"/>
          <w:szCs w:val="28"/>
          <w:highlight w:val="none"/>
          <w:lang w:eastAsia="zh-CN"/>
        </w:rPr>
        <w:t>2022年</w:t>
      </w:r>
      <w:r>
        <w:rPr>
          <w:rFonts w:hint="eastAsia" w:ascii="Times New Roman" w:hAnsi="Times New Roman" w:cs="Times New Roman"/>
          <w:color w:val="auto"/>
          <w:sz w:val="28"/>
          <w:szCs w:val="28"/>
          <w:highlight w:val="none"/>
          <w:lang w:val="en-US" w:eastAsia="zh-CN"/>
        </w:rPr>
        <w:t>10</w:t>
      </w:r>
      <w:r>
        <w:rPr>
          <w:rFonts w:hint="eastAsia" w:ascii="Times New Roman" w:hAnsi="Times New Roman" w:cs="Times New Roman"/>
          <w:color w:val="auto"/>
          <w:sz w:val="28"/>
          <w:szCs w:val="28"/>
          <w:highlight w:val="none"/>
          <w:lang w:eastAsia="zh-CN"/>
        </w:rPr>
        <w:t>月</w:t>
      </w:r>
      <w:r>
        <w:rPr>
          <w:rFonts w:hint="eastAsia" w:ascii="Times New Roman" w:hAnsi="Times New Roman" w:cs="Times New Roman"/>
          <w:color w:val="auto"/>
          <w:sz w:val="28"/>
          <w:szCs w:val="28"/>
          <w:highlight w:val="none"/>
          <w:lang w:val="en-US" w:eastAsia="zh-CN"/>
        </w:rPr>
        <w:t>19</w:t>
      </w:r>
      <w:r>
        <w:rPr>
          <w:rFonts w:hint="eastAsia" w:ascii="Times New Roman" w:hAnsi="Times New Roman" w:cs="Times New Roman"/>
          <w:color w:val="auto"/>
          <w:sz w:val="28"/>
          <w:szCs w:val="28"/>
          <w:highlight w:val="none"/>
          <w:lang w:eastAsia="zh-CN"/>
        </w:rPr>
        <w:t>日</w:t>
      </w:r>
      <w:r>
        <w:rPr>
          <w:rFonts w:hint="default" w:ascii="Times New Roman" w:hAnsi="Times New Roman" w:cs="Times New Roman" w:eastAsiaTheme="minorEastAsia"/>
          <w:color w:val="auto"/>
          <w:sz w:val="28"/>
          <w:szCs w:val="28"/>
          <w:highlight w:val="none"/>
        </w:rPr>
        <w:t>实际</w:t>
      </w:r>
      <w:r>
        <w:rPr>
          <w:rFonts w:hint="eastAsia" w:ascii="Times New Roman" w:hAnsi="Times New Roman" w:cs="Times New Roman"/>
          <w:color w:val="auto"/>
          <w:sz w:val="28"/>
          <w:szCs w:val="28"/>
          <w:highlight w:val="none"/>
          <w:lang w:val="en-US" w:eastAsia="zh-CN"/>
        </w:rPr>
        <w:t>木托盘</w:t>
      </w:r>
      <w:r>
        <w:rPr>
          <w:rFonts w:hint="eastAsia" w:ascii="Times New Roman" w:hAnsi="Times New Roman" w:cs="Times New Roman"/>
          <w:color w:val="auto"/>
          <w:sz w:val="28"/>
          <w:szCs w:val="28"/>
          <w:highlight w:val="none"/>
          <w:lang w:eastAsia="zh-CN"/>
        </w:rPr>
        <w:t>产生量为</w:t>
      </w:r>
      <w:r>
        <w:rPr>
          <w:rFonts w:hint="eastAsia" w:ascii="Times New Roman" w:hAnsi="Times New Roman" w:cs="Times New Roman"/>
          <w:color w:val="auto"/>
          <w:sz w:val="28"/>
          <w:szCs w:val="28"/>
          <w:highlight w:val="none"/>
          <w:lang w:val="en-US" w:eastAsia="zh-CN"/>
        </w:rPr>
        <w:t>533件，包装木箱</w:t>
      </w:r>
      <w:r>
        <w:rPr>
          <w:rFonts w:hint="eastAsia" w:ascii="Times New Roman" w:hAnsi="Times New Roman" w:cs="Times New Roman"/>
          <w:color w:val="auto"/>
          <w:sz w:val="28"/>
          <w:szCs w:val="28"/>
          <w:highlight w:val="none"/>
          <w:lang w:eastAsia="zh-CN"/>
        </w:rPr>
        <w:t>产生量为</w:t>
      </w:r>
      <w:r>
        <w:rPr>
          <w:rFonts w:hint="eastAsia" w:ascii="Times New Roman" w:hAnsi="Times New Roman" w:cs="Times New Roman"/>
          <w:color w:val="auto"/>
          <w:sz w:val="28"/>
          <w:szCs w:val="28"/>
          <w:highlight w:val="none"/>
          <w:lang w:val="en-US" w:eastAsia="zh-CN"/>
        </w:rPr>
        <w:t>466件</w:t>
      </w:r>
      <w:r>
        <w:rPr>
          <w:rFonts w:hint="default" w:ascii="Times New Roman" w:hAnsi="Times New Roman" w:cs="Times New Roman" w:eastAsiaTheme="minorEastAsia"/>
          <w:color w:val="auto"/>
          <w:sz w:val="28"/>
          <w:szCs w:val="28"/>
          <w:highlight w:val="none"/>
        </w:rPr>
        <w:t>，生产负荷为</w:t>
      </w:r>
      <w:r>
        <w:rPr>
          <w:rFonts w:hint="default" w:ascii="Times New Roman" w:hAnsi="Times New Roman" w:cs="Times New Roman" w:eastAsiaTheme="minorEastAsia"/>
          <w:color w:val="auto"/>
          <w:sz w:val="28"/>
          <w:szCs w:val="28"/>
          <w:highlight w:val="none"/>
          <w:lang w:val="en-US" w:eastAsia="zh-CN"/>
        </w:rPr>
        <w:t>100</w:t>
      </w:r>
      <w:r>
        <w:rPr>
          <w:rFonts w:hint="default" w:ascii="Times New Roman" w:hAnsi="Times New Roman" w:cs="Times New Roman" w:eastAsiaTheme="minorEastAsia"/>
          <w:color w:val="auto"/>
          <w:sz w:val="28"/>
          <w:szCs w:val="28"/>
          <w:highlight w:val="none"/>
        </w:rPr>
        <w:t>%，</w:t>
      </w:r>
      <w:r>
        <w:rPr>
          <w:rFonts w:hint="eastAsia" w:ascii="Times New Roman" w:hAnsi="Times New Roman" w:cs="Times New Roman"/>
          <w:color w:val="auto"/>
          <w:sz w:val="28"/>
          <w:szCs w:val="28"/>
          <w:highlight w:val="none"/>
          <w:lang w:eastAsia="zh-CN"/>
        </w:rPr>
        <w:t>2022年</w:t>
      </w:r>
      <w:r>
        <w:rPr>
          <w:rFonts w:hint="eastAsia" w:ascii="Times New Roman" w:hAnsi="Times New Roman" w:cs="Times New Roman"/>
          <w:color w:val="auto"/>
          <w:sz w:val="28"/>
          <w:szCs w:val="28"/>
          <w:highlight w:val="none"/>
          <w:lang w:val="en-US" w:eastAsia="zh-CN"/>
        </w:rPr>
        <w:t>10</w:t>
      </w:r>
      <w:r>
        <w:rPr>
          <w:rFonts w:hint="eastAsia" w:ascii="Times New Roman" w:hAnsi="Times New Roman" w:cs="Times New Roman"/>
          <w:color w:val="auto"/>
          <w:sz w:val="28"/>
          <w:szCs w:val="28"/>
          <w:highlight w:val="none"/>
          <w:lang w:eastAsia="zh-CN"/>
        </w:rPr>
        <w:t>月</w:t>
      </w:r>
      <w:r>
        <w:rPr>
          <w:rFonts w:hint="eastAsia" w:ascii="Times New Roman" w:hAnsi="Times New Roman" w:cs="Times New Roman"/>
          <w:color w:val="auto"/>
          <w:sz w:val="28"/>
          <w:szCs w:val="28"/>
          <w:highlight w:val="none"/>
          <w:lang w:val="en-US" w:eastAsia="zh-CN"/>
        </w:rPr>
        <w:t>20</w:t>
      </w:r>
      <w:r>
        <w:rPr>
          <w:rFonts w:hint="eastAsia" w:ascii="Times New Roman" w:hAnsi="Times New Roman" w:cs="Times New Roman"/>
          <w:color w:val="auto"/>
          <w:sz w:val="28"/>
          <w:szCs w:val="28"/>
          <w:highlight w:val="none"/>
          <w:lang w:eastAsia="zh-CN"/>
        </w:rPr>
        <w:t>日</w:t>
      </w:r>
      <w:r>
        <w:rPr>
          <w:rFonts w:hint="default" w:ascii="Times New Roman" w:hAnsi="Times New Roman" w:cs="Times New Roman" w:eastAsiaTheme="minorEastAsia"/>
          <w:color w:val="auto"/>
          <w:sz w:val="28"/>
          <w:szCs w:val="28"/>
          <w:highlight w:val="none"/>
        </w:rPr>
        <w:t>实际</w:t>
      </w:r>
      <w:r>
        <w:rPr>
          <w:rFonts w:hint="eastAsia" w:ascii="Times New Roman" w:hAnsi="Times New Roman" w:cs="Times New Roman"/>
          <w:color w:val="auto"/>
          <w:sz w:val="28"/>
          <w:szCs w:val="28"/>
          <w:highlight w:val="none"/>
          <w:lang w:val="en-US" w:eastAsia="zh-CN"/>
        </w:rPr>
        <w:t>木托盘</w:t>
      </w:r>
      <w:r>
        <w:rPr>
          <w:rFonts w:hint="eastAsia" w:ascii="Times New Roman" w:hAnsi="Times New Roman" w:cs="Times New Roman"/>
          <w:color w:val="auto"/>
          <w:sz w:val="28"/>
          <w:szCs w:val="28"/>
          <w:highlight w:val="none"/>
          <w:lang w:eastAsia="zh-CN"/>
        </w:rPr>
        <w:t>产生量为</w:t>
      </w:r>
      <w:r>
        <w:rPr>
          <w:rFonts w:hint="eastAsia" w:ascii="Times New Roman" w:hAnsi="Times New Roman" w:cs="Times New Roman"/>
          <w:color w:val="auto"/>
          <w:sz w:val="28"/>
          <w:szCs w:val="28"/>
          <w:highlight w:val="none"/>
          <w:lang w:val="en-US" w:eastAsia="zh-CN"/>
        </w:rPr>
        <w:t>533件，包装木箱</w:t>
      </w:r>
      <w:r>
        <w:rPr>
          <w:rFonts w:hint="eastAsia" w:ascii="Times New Roman" w:hAnsi="Times New Roman" w:cs="Times New Roman"/>
          <w:color w:val="auto"/>
          <w:sz w:val="28"/>
          <w:szCs w:val="28"/>
          <w:highlight w:val="none"/>
          <w:lang w:eastAsia="zh-CN"/>
        </w:rPr>
        <w:t>产生量为</w:t>
      </w:r>
      <w:r>
        <w:rPr>
          <w:rFonts w:hint="eastAsia" w:ascii="Times New Roman" w:hAnsi="Times New Roman" w:cs="Times New Roman"/>
          <w:color w:val="auto"/>
          <w:sz w:val="28"/>
          <w:szCs w:val="28"/>
          <w:highlight w:val="none"/>
          <w:lang w:val="en-US" w:eastAsia="zh-CN"/>
        </w:rPr>
        <w:t>466件</w:t>
      </w:r>
      <w:r>
        <w:rPr>
          <w:rFonts w:hint="default" w:ascii="Times New Roman" w:hAnsi="Times New Roman" w:cs="Times New Roman" w:eastAsiaTheme="minorEastAsia"/>
          <w:color w:val="auto"/>
          <w:sz w:val="28"/>
          <w:szCs w:val="28"/>
          <w:highlight w:val="none"/>
        </w:rPr>
        <w:t>，生产负荷为</w:t>
      </w:r>
      <w:r>
        <w:rPr>
          <w:rFonts w:hint="default" w:ascii="Times New Roman" w:hAnsi="Times New Roman" w:cs="Times New Roman" w:eastAsiaTheme="minorEastAsia"/>
          <w:color w:val="auto"/>
          <w:sz w:val="28"/>
          <w:szCs w:val="28"/>
          <w:highlight w:val="none"/>
          <w:lang w:val="en-US" w:eastAsia="zh-CN"/>
        </w:rPr>
        <w:t>100</w:t>
      </w:r>
      <w:r>
        <w:rPr>
          <w:rFonts w:hint="default" w:ascii="Times New Roman" w:hAnsi="Times New Roman" w:cs="Times New Roman" w:eastAsiaTheme="minorEastAsia"/>
          <w:color w:val="auto"/>
          <w:sz w:val="28"/>
          <w:szCs w:val="28"/>
          <w:highlight w:val="none"/>
        </w:rPr>
        <w:t>%。监测期间车间运行正常，各生产设施、环境保护设施均正常运转。</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特此证明。</w:t>
      </w:r>
    </w:p>
    <w:p>
      <w:pPr>
        <w:pStyle w:val="36"/>
        <w:rPr>
          <w:rFonts w:hint="default" w:ascii="Times New Roman" w:hAnsi="Times New Roman" w:cs="Times New Roman"/>
          <w:color w:val="auto"/>
        </w:rPr>
      </w:pPr>
    </w:p>
    <w:p>
      <w:pPr>
        <w:pStyle w:val="36"/>
        <w:rPr>
          <w:rFonts w:hint="default" w:ascii="Times New Roman" w:hAnsi="Times New Roman" w:cs="Times New Roman"/>
          <w:color w:val="auto"/>
        </w:rPr>
      </w:pPr>
    </w:p>
    <w:p>
      <w:pPr>
        <w:pStyle w:val="36"/>
        <w:rPr>
          <w:rFonts w:hint="default" w:ascii="Times New Roman" w:hAnsi="Times New Roman" w:cs="Times New Roman"/>
          <w:color w:val="auto"/>
        </w:rPr>
      </w:pPr>
    </w:p>
    <w:p>
      <w:pPr>
        <w:pStyle w:val="36"/>
        <w:rPr>
          <w:rFonts w:hint="default" w:ascii="Times New Roman" w:hAnsi="Times New Roman" w:cs="Times New Roman"/>
          <w:color w:val="auto"/>
        </w:rPr>
      </w:pPr>
    </w:p>
    <w:p>
      <w:pPr>
        <w:pStyle w:val="36"/>
        <w:rPr>
          <w:rFonts w:hint="default" w:ascii="Times New Roman" w:hAnsi="Times New Roman" w:cs="Times New Roman"/>
          <w:color w:val="auto"/>
        </w:rPr>
      </w:pPr>
    </w:p>
    <w:p>
      <w:pPr>
        <w:pStyle w:val="36"/>
        <w:rPr>
          <w:rFonts w:hint="default" w:ascii="Times New Roman" w:hAnsi="Times New Roman" w:cs="Times New Roman"/>
          <w:color w:val="auto"/>
        </w:rPr>
      </w:pPr>
    </w:p>
    <w:p>
      <w:pPr>
        <w:pStyle w:val="36"/>
        <w:rPr>
          <w:rFonts w:hint="default" w:ascii="Times New Roman" w:hAnsi="Times New Roman" w:cs="Times New Roman"/>
          <w:color w:val="auto"/>
        </w:rPr>
      </w:pPr>
    </w:p>
    <w:p>
      <w:pPr>
        <w:pStyle w:val="36"/>
        <w:rPr>
          <w:rFonts w:hint="default" w:ascii="Times New Roman" w:hAnsi="Times New Roman" w:cs="Times New Roman"/>
          <w:color w:val="auto"/>
        </w:rPr>
      </w:pPr>
    </w:p>
    <w:p>
      <w:pPr>
        <w:pStyle w:val="36"/>
        <w:rPr>
          <w:rFonts w:hint="default" w:ascii="Times New Roman" w:hAnsi="Times New Roman" w:cs="Times New Roman"/>
          <w:color w:val="auto"/>
        </w:rPr>
      </w:pPr>
    </w:p>
    <w:p>
      <w:pPr>
        <w:pStyle w:val="36"/>
        <w:rPr>
          <w:rFonts w:hint="default" w:ascii="Times New Roman" w:hAnsi="Times New Roman" w:cs="Times New Roman"/>
          <w:color w:val="auto"/>
        </w:rPr>
      </w:pPr>
    </w:p>
    <w:p>
      <w:pPr>
        <w:pStyle w:val="36"/>
        <w:rPr>
          <w:rFonts w:hint="default" w:ascii="Times New Roman" w:hAnsi="Times New Roman" w:cs="Times New Roman"/>
          <w:color w:val="auto"/>
        </w:rPr>
      </w:pPr>
    </w:p>
    <w:p>
      <w:pPr>
        <w:pStyle w:val="8"/>
        <w:spacing w:line="360" w:lineRule="auto"/>
        <w:ind w:firstLine="0"/>
        <w:jc w:val="right"/>
        <w:rPr>
          <w:rFonts w:hint="default" w:ascii="Times New Roman" w:hAnsi="Times New Roman" w:cs="Times New Roman"/>
          <w:sz w:val="28"/>
          <w:szCs w:val="28"/>
          <w:highlight w:val="none"/>
        </w:rPr>
      </w:pPr>
      <w:r>
        <w:rPr>
          <w:rFonts w:hint="eastAsia" w:ascii="Times New Roman" w:hAnsi="Times New Roman" w:cs="Times New Roman"/>
          <w:sz w:val="28"/>
          <w:szCs w:val="28"/>
          <w:lang w:eastAsia="zh-CN"/>
        </w:rPr>
        <w:t>山东</w:t>
      </w:r>
      <w:r>
        <w:rPr>
          <w:rFonts w:hint="eastAsia" w:ascii="Times New Roman" w:hAnsi="Times New Roman" w:cs="Times New Roman"/>
          <w:sz w:val="28"/>
          <w:szCs w:val="28"/>
          <w:highlight w:val="none"/>
          <w:lang w:eastAsia="zh-CN"/>
        </w:rPr>
        <w:t>南山铝业股份有限公司</w:t>
      </w:r>
      <w:r>
        <w:rPr>
          <w:rFonts w:hint="default" w:ascii="Times New Roman" w:hAnsi="Times New Roman" w:cs="Times New Roman"/>
          <w:sz w:val="28"/>
          <w:szCs w:val="28"/>
          <w:highlight w:val="none"/>
        </w:rPr>
        <w:t>（单位盖章）</w:t>
      </w:r>
    </w:p>
    <w:p>
      <w:pPr>
        <w:pStyle w:val="8"/>
        <w:spacing w:line="360" w:lineRule="auto"/>
        <w:ind w:firstLine="560" w:firstLineChars="200"/>
        <w:jc w:val="right"/>
        <w:rPr>
          <w:rFonts w:hint="default" w:ascii="Times New Roman" w:hAnsi="Times New Roman" w:cs="Times New Roman"/>
          <w:sz w:val="28"/>
          <w:szCs w:val="28"/>
          <w:highlight w:val="none"/>
        </w:rPr>
      </w:pPr>
      <w:r>
        <w:rPr>
          <w:rFonts w:hint="eastAsia" w:ascii="Times New Roman" w:hAnsi="Times New Roman" w:cs="Times New Roman"/>
          <w:sz w:val="28"/>
          <w:szCs w:val="28"/>
          <w:highlight w:val="none"/>
          <w:lang w:val="en-US" w:eastAsia="zh-CN"/>
        </w:rPr>
        <w:t>2022年10月20日</w:t>
      </w:r>
    </w:p>
    <w:p>
      <w:pPr>
        <w:pStyle w:val="7"/>
        <w:tabs>
          <w:tab w:val="left" w:pos="735"/>
          <w:tab w:val="left" w:pos="3150"/>
        </w:tabs>
        <w:spacing w:before="0" w:after="120" w:line="240" w:lineRule="auto"/>
        <w:ind w:left="0" w:firstLine="0"/>
        <w:rPr>
          <w:rFonts w:hint="default" w:ascii="Times New Roman" w:hAnsi="Times New Roman" w:cs="Times New Roman" w:eastAsiaTheme="minorEastAsia"/>
          <w:b w:val="0"/>
          <w:bCs/>
          <w:spacing w:val="0"/>
          <w:sz w:val="24"/>
          <w:szCs w:val="24"/>
        </w:rPr>
        <w:sectPr>
          <w:pgSz w:w="11906" w:h="16838"/>
          <w:pgMar w:top="1803" w:right="1440" w:bottom="1803" w:left="1440" w:header="851" w:footer="992" w:gutter="0"/>
          <w:cols w:space="425" w:num="1"/>
          <w:docGrid w:type="lines" w:linePitch="312" w:charSpace="0"/>
        </w:sectPr>
      </w:pPr>
    </w:p>
    <w:p>
      <w:pPr>
        <w:pStyle w:val="2"/>
        <w:rPr>
          <w:rFonts w:hint="default"/>
        </w:rPr>
        <w:sectPr>
          <w:pgSz w:w="11906" w:h="16838"/>
          <w:pgMar w:top="1803" w:right="1440" w:bottom="1803" w:left="1440" w:header="851" w:footer="992" w:gutter="0"/>
          <w:cols w:space="425" w:num="1"/>
          <w:docGrid w:type="lines" w:linePitch="312" w:charSpace="0"/>
        </w:sectPr>
      </w:pPr>
    </w:p>
    <w:p>
      <w:pPr>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eastAsia="zh-CN"/>
        </w:rPr>
        <w:t>附件</w:t>
      </w:r>
      <w:r>
        <w:rPr>
          <w:rFonts w:hint="default" w:ascii="Times New Roman" w:hAnsi="Times New Roman" w:eastAsia="宋体" w:cs="Times New Roman"/>
          <w:b/>
          <w:bCs/>
          <w:sz w:val="24"/>
          <w:szCs w:val="24"/>
          <w:highlight w:val="none"/>
          <w:lang w:val="en-US" w:eastAsia="zh-CN"/>
        </w:rPr>
        <w:t>3 营业执照</w:t>
      </w:r>
    </w:p>
    <w:p>
      <w:pPr>
        <w:jc w:val="center"/>
        <w:rPr>
          <w:rFonts w:hint="default" w:ascii="Times New Roman" w:hAnsi="Times New Roman" w:eastAsia="宋体" w:cs="Times New Roman"/>
          <w:b/>
          <w:bCs/>
          <w:sz w:val="24"/>
          <w:szCs w:val="24"/>
          <w:lang w:eastAsia="zh-CN"/>
        </w:rPr>
        <w:sectPr>
          <w:headerReference r:id="rId11" w:type="default"/>
          <w:footerReference r:id="rId12" w:type="default"/>
          <w:pgSz w:w="11906" w:h="16838"/>
          <w:pgMar w:top="1803" w:right="1417" w:bottom="1803" w:left="1417" w:header="851" w:footer="992" w:gutter="0"/>
          <w:cols w:space="425" w:num="1"/>
          <w:docGrid w:type="lines" w:linePitch="312" w:charSpace="0"/>
        </w:sectPr>
      </w:pPr>
      <w:r>
        <w:drawing>
          <wp:anchor distT="0" distB="0" distL="114300" distR="114300" simplePos="0" relativeHeight="251665408" behindDoc="0" locked="0" layoutInCell="1" allowOverlap="1">
            <wp:simplePos x="0" y="0"/>
            <wp:positionH relativeFrom="column">
              <wp:posOffset>-1221105</wp:posOffset>
            </wp:positionH>
            <wp:positionV relativeFrom="paragraph">
              <wp:posOffset>1271905</wp:posOffset>
            </wp:positionV>
            <wp:extent cx="8190230" cy="5870575"/>
            <wp:effectExtent l="0" t="0" r="15875" b="127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rot="16200000">
                      <a:off x="0" y="0"/>
                      <a:ext cx="8190230" cy="5870575"/>
                    </a:xfrm>
                    <a:prstGeom prst="rect">
                      <a:avLst/>
                    </a:prstGeom>
                    <a:noFill/>
                    <a:ln>
                      <a:noFill/>
                    </a:ln>
                  </pic:spPr>
                </pic:pic>
              </a:graphicData>
            </a:graphic>
          </wp:anchor>
        </w:drawing>
      </w:r>
    </w:p>
    <w:p>
      <w:pPr>
        <w:rPr>
          <w:rFonts w:hint="default" w:ascii="Times New Roman" w:hAnsi="Times New Roman" w:eastAsia="宋体" w:cs="Times New Roman"/>
          <w:b/>
          <w:bCs/>
          <w:sz w:val="24"/>
          <w:szCs w:val="24"/>
          <w:lang w:val="en-US" w:eastAsia="zh-CN"/>
        </w:rPr>
        <w:sectPr>
          <w:pgSz w:w="11906" w:h="16838"/>
          <w:pgMar w:top="1440" w:right="1800" w:bottom="1440" w:left="1800" w:header="851" w:footer="992" w:gutter="0"/>
          <w:cols w:space="425" w:num="1"/>
          <w:docGrid w:type="lines" w:linePitch="312" w:charSpace="0"/>
        </w:sectPr>
      </w:pPr>
    </w:p>
    <w:p>
      <w:pPr>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附件</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val="en-US" w:eastAsia="zh-CN"/>
        </w:rPr>
        <w:t>审批意见</w:t>
      </w:r>
    </w:p>
    <w:p>
      <w:pPr>
        <w:rPr>
          <w:rFonts w:hint="default" w:ascii="Times New Roman" w:hAnsi="Times New Roman" w:eastAsia="宋体" w:cs="Times New Roman"/>
          <w:b/>
          <w:bCs/>
          <w:sz w:val="24"/>
          <w:szCs w:val="24"/>
          <w:lang w:val="en-US" w:eastAsia="zh-CN"/>
        </w:rPr>
      </w:pPr>
      <w:r>
        <w:drawing>
          <wp:inline distT="0" distB="0" distL="114300" distR="114300">
            <wp:extent cx="5270500" cy="7530465"/>
            <wp:effectExtent l="0" t="0" r="6350" b="1333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9"/>
                    <a:stretch>
                      <a:fillRect/>
                    </a:stretch>
                  </pic:blipFill>
                  <pic:spPr>
                    <a:xfrm>
                      <a:off x="0" y="0"/>
                      <a:ext cx="5270500" cy="7530465"/>
                    </a:xfrm>
                    <a:prstGeom prst="rect">
                      <a:avLst/>
                    </a:prstGeom>
                    <a:noFill/>
                    <a:ln>
                      <a:noFill/>
                    </a:ln>
                  </pic:spPr>
                </pic:pic>
              </a:graphicData>
            </a:graphic>
          </wp:inline>
        </w:drawing>
      </w:r>
    </w:p>
    <w:p>
      <w:pPr>
        <w:outlineLvl w:val="0"/>
        <w:rPr>
          <w:rFonts w:hint="default" w:ascii="Times New Roman" w:hAnsi="Times New Roman" w:cs="Times New Roman"/>
          <w:b/>
          <w:sz w:val="24"/>
        </w:rPr>
        <w:sectPr>
          <w:pgSz w:w="11906" w:h="16838"/>
          <w:pgMar w:top="1440" w:right="1800" w:bottom="1440" w:left="1800" w:header="851" w:footer="992" w:gutter="0"/>
          <w:cols w:space="425" w:num="1"/>
          <w:docGrid w:type="lines" w:linePitch="312" w:charSpace="0"/>
        </w:sectPr>
      </w:pPr>
    </w:p>
    <w:p>
      <w:pPr>
        <w:pStyle w:val="7"/>
        <w:tabs>
          <w:tab w:val="left" w:pos="735"/>
          <w:tab w:val="left" w:pos="3150"/>
        </w:tabs>
        <w:rPr>
          <w:rFonts w:hint="default"/>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6432" behindDoc="1" locked="0" layoutInCell="1" allowOverlap="1">
            <wp:simplePos x="0" y="0"/>
            <wp:positionH relativeFrom="column">
              <wp:posOffset>19050</wp:posOffset>
            </wp:positionH>
            <wp:positionV relativeFrom="paragraph">
              <wp:posOffset>27940</wp:posOffset>
            </wp:positionV>
            <wp:extent cx="5269230" cy="7487285"/>
            <wp:effectExtent l="0" t="0" r="7620" b="18415"/>
            <wp:wrapNone/>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0"/>
                    <a:stretch>
                      <a:fillRect/>
                    </a:stretch>
                  </pic:blipFill>
                  <pic:spPr>
                    <a:xfrm>
                      <a:off x="0" y="0"/>
                      <a:ext cx="5269230" cy="7487285"/>
                    </a:xfrm>
                    <a:prstGeom prst="rect">
                      <a:avLst/>
                    </a:prstGeom>
                    <a:noFill/>
                    <a:ln>
                      <a:noFill/>
                    </a:ln>
                  </pic:spPr>
                </pic:pic>
              </a:graphicData>
            </a:graphic>
          </wp:anchor>
        </w:drawing>
      </w:r>
    </w:p>
    <w:p>
      <w:pPr>
        <w:pStyle w:val="7"/>
        <w:tabs>
          <w:tab w:val="left" w:pos="735"/>
          <w:tab w:val="left" w:pos="3150"/>
        </w:tabs>
        <w:rPr>
          <w:rFonts w:hint="default"/>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6432" behindDoc="1" locked="0" layoutInCell="1" allowOverlap="1">
            <wp:simplePos x="0" y="0"/>
            <wp:positionH relativeFrom="column">
              <wp:posOffset>-28575</wp:posOffset>
            </wp:positionH>
            <wp:positionV relativeFrom="paragraph">
              <wp:posOffset>59055</wp:posOffset>
            </wp:positionV>
            <wp:extent cx="5269230" cy="7449185"/>
            <wp:effectExtent l="0" t="0" r="7620" b="18415"/>
            <wp:wrapNone/>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1"/>
                    <a:stretch>
                      <a:fillRect/>
                    </a:stretch>
                  </pic:blipFill>
                  <pic:spPr>
                    <a:xfrm>
                      <a:off x="0" y="0"/>
                      <a:ext cx="5269230" cy="7449185"/>
                    </a:xfrm>
                    <a:prstGeom prst="rect">
                      <a:avLst/>
                    </a:prstGeom>
                    <a:noFill/>
                    <a:ln>
                      <a:noFill/>
                    </a:ln>
                  </pic:spPr>
                </pic:pic>
              </a:graphicData>
            </a:graphic>
          </wp:anchor>
        </w:drawing>
      </w:r>
    </w:p>
    <w:p>
      <w:pPr>
        <w:outlineLvl w:val="0"/>
        <w:rPr>
          <w:rFonts w:hint="eastAsia" w:ascii="Times New Roman" w:hAnsi="Times New Roman" w:cs="Times New Roman"/>
          <w:b/>
          <w:sz w:val="24"/>
          <w:highlight w:val="none"/>
          <w:lang w:eastAsia="zh-CN"/>
        </w:rPr>
      </w:pPr>
      <w:r>
        <w:rPr>
          <w:rFonts w:hint="default" w:ascii="Times New Roman" w:hAnsi="Times New Roman" w:cs="Times New Roman"/>
          <w:b/>
          <w:sz w:val="24"/>
          <w:highlight w:val="none"/>
        </w:rPr>
        <w:t>附件</w:t>
      </w:r>
      <w:r>
        <w:rPr>
          <w:rFonts w:hint="eastAsia" w:ascii="Times New Roman" w:hAnsi="Times New Roman" w:cs="Times New Roman"/>
          <w:b/>
          <w:sz w:val="24"/>
          <w:highlight w:val="none"/>
          <w:lang w:val="en-US" w:eastAsia="zh-CN"/>
        </w:rPr>
        <w:t>5</w:t>
      </w:r>
      <w:r>
        <w:rPr>
          <w:rFonts w:hint="default" w:ascii="Times New Roman" w:hAnsi="Times New Roman" w:cs="Times New Roman"/>
          <w:b/>
          <w:sz w:val="24"/>
          <w:highlight w:val="none"/>
        </w:rPr>
        <w:t xml:space="preserve"> </w:t>
      </w:r>
      <w:r>
        <w:rPr>
          <w:rFonts w:hint="eastAsia" w:ascii="Times New Roman" w:hAnsi="Times New Roman" w:cs="Times New Roman"/>
          <w:b/>
          <w:sz w:val="24"/>
          <w:highlight w:val="none"/>
          <w:lang w:eastAsia="zh-CN"/>
        </w:rPr>
        <w:t>排污许可证</w:t>
      </w:r>
    </w:p>
    <w:p>
      <w:pPr>
        <w:outlineLvl w:val="0"/>
        <w:rPr>
          <w:rFonts w:hint="default" w:ascii="Times New Roman" w:hAnsi="Times New Roman" w:cs="Times New Roman"/>
          <w:b/>
          <w:sz w:val="24"/>
        </w:rPr>
      </w:pPr>
      <w:r>
        <w:drawing>
          <wp:inline distT="0" distB="0" distL="114300" distR="114300">
            <wp:extent cx="5269230" cy="7434580"/>
            <wp:effectExtent l="0" t="0" r="762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269230" cy="7434580"/>
                    </a:xfrm>
                    <a:prstGeom prst="rect">
                      <a:avLst/>
                    </a:prstGeom>
                    <a:noFill/>
                    <a:ln>
                      <a:noFill/>
                    </a:ln>
                  </pic:spPr>
                </pic:pic>
              </a:graphicData>
            </a:graphic>
          </wp:inline>
        </w:drawing>
      </w:r>
    </w:p>
    <w:p>
      <w:pPr>
        <w:rPr>
          <w:rFonts w:hint="default" w:ascii="Times New Roman" w:hAnsi="Times New Roman" w:cs="Times New Roman"/>
          <w:b/>
          <w:sz w:val="24"/>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b/>
          <w:sz w:val="24"/>
        </w:rPr>
        <w:br w:type="page"/>
      </w:r>
    </w:p>
    <w:p>
      <w:pPr>
        <w:rPr>
          <w:rFonts w:hint="default"/>
        </w:rPr>
      </w:pPr>
      <w:r>
        <w:rPr>
          <w:rFonts w:hint="default"/>
        </w:rPr>
        <w:br w:type="page"/>
      </w:r>
    </w:p>
    <w:p>
      <w:pPr>
        <w:outlineLvl w:val="0"/>
        <w:rPr>
          <w:rFonts w:hint="eastAsia" w:ascii="Times New Roman" w:hAnsi="Times New Roman" w:cs="Times New Roman"/>
          <w:b/>
          <w:sz w:val="24"/>
          <w:highlight w:val="none"/>
          <w:lang w:eastAsia="zh-CN"/>
        </w:rPr>
      </w:pPr>
      <w:r>
        <w:rPr>
          <w:rFonts w:hint="default" w:ascii="Times New Roman" w:hAnsi="Times New Roman" w:cs="Times New Roman"/>
          <w:b/>
          <w:sz w:val="24"/>
          <w:highlight w:val="none"/>
        </w:rPr>
        <w:t>附件</w:t>
      </w:r>
      <w:r>
        <w:rPr>
          <w:rFonts w:hint="eastAsia" w:ascii="Times New Roman" w:hAnsi="Times New Roman" w:cs="Times New Roman"/>
          <w:b/>
          <w:sz w:val="24"/>
          <w:highlight w:val="none"/>
          <w:lang w:val="en-US" w:eastAsia="zh-CN"/>
        </w:rPr>
        <w:t>6</w:t>
      </w:r>
      <w:r>
        <w:rPr>
          <w:rFonts w:hint="default" w:ascii="Times New Roman" w:hAnsi="Times New Roman" w:cs="Times New Roman"/>
          <w:b/>
          <w:sz w:val="24"/>
          <w:highlight w:val="none"/>
        </w:rPr>
        <w:t xml:space="preserve"> </w:t>
      </w:r>
      <w:r>
        <w:rPr>
          <w:rFonts w:hint="eastAsia" w:ascii="Times New Roman" w:hAnsi="Times New Roman" w:cs="Times New Roman"/>
          <w:b/>
          <w:sz w:val="24"/>
          <w:highlight w:val="none"/>
          <w:lang w:eastAsia="zh-CN"/>
        </w:rPr>
        <w:t>应急预案备案意见</w:t>
      </w:r>
    </w:p>
    <w:p>
      <w:pPr>
        <w:outlineLvl w:val="0"/>
        <w:rPr>
          <w:rFonts w:hint="default" w:ascii="Times New Roman" w:hAnsi="Times New Roman" w:cs="Times New Roman" w:eastAsiaTheme="minorEastAsia"/>
          <w:b/>
          <w:sz w:val="24"/>
          <w:lang w:val="en-US" w:eastAsia="zh-CN"/>
        </w:rPr>
        <w:sectPr>
          <w:pgSz w:w="11906" w:h="16838"/>
          <w:pgMar w:top="1440" w:right="1800" w:bottom="1440" w:left="1800" w:header="851" w:footer="992" w:gutter="0"/>
          <w:cols w:space="425" w:num="1"/>
          <w:docGrid w:type="lines" w:linePitch="312" w:charSpace="0"/>
        </w:sectPr>
      </w:pPr>
      <w:r>
        <w:drawing>
          <wp:inline distT="0" distB="0" distL="114300" distR="114300">
            <wp:extent cx="5274310" cy="6402705"/>
            <wp:effectExtent l="0" t="0" r="2540" b="171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3"/>
                    <a:stretch>
                      <a:fillRect/>
                    </a:stretch>
                  </pic:blipFill>
                  <pic:spPr>
                    <a:xfrm>
                      <a:off x="0" y="0"/>
                      <a:ext cx="5274310" cy="6402705"/>
                    </a:xfrm>
                    <a:prstGeom prst="rect">
                      <a:avLst/>
                    </a:prstGeom>
                    <a:noFill/>
                    <a:ln>
                      <a:noFill/>
                    </a:ln>
                  </pic:spPr>
                </pic:pic>
              </a:graphicData>
            </a:graphic>
          </wp:inline>
        </w:drawing>
      </w:r>
      <w:r>
        <w:drawing>
          <wp:inline distT="0" distB="0" distL="114300" distR="114300">
            <wp:extent cx="5271770" cy="6595745"/>
            <wp:effectExtent l="0" t="0" r="5080"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5271770" cy="6595745"/>
                    </a:xfrm>
                    <a:prstGeom prst="rect">
                      <a:avLst/>
                    </a:prstGeom>
                    <a:noFill/>
                    <a:ln>
                      <a:noFill/>
                    </a:ln>
                  </pic:spPr>
                </pic:pic>
              </a:graphicData>
            </a:graphic>
          </wp:inline>
        </w:drawing>
      </w:r>
    </w:p>
    <w:p>
      <w:pPr>
        <w:outlineLvl w:val="0"/>
        <w:rPr>
          <w:rFonts w:hint="eastAsia" w:ascii="Times New Roman" w:hAnsi="Times New Roman" w:cs="Times New Roman"/>
          <w:b/>
          <w:sz w:val="24"/>
          <w:highlight w:val="none"/>
          <w:lang w:val="en-US" w:eastAsia="zh-CN"/>
        </w:rPr>
      </w:pPr>
      <w:r>
        <w:drawing>
          <wp:anchor distT="0" distB="0" distL="114300" distR="114300" simplePos="0" relativeHeight="251667456" behindDoc="1" locked="0" layoutInCell="1" allowOverlap="1">
            <wp:simplePos x="0" y="0"/>
            <wp:positionH relativeFrom="column">
              <wp:posOffset>101600</wp:posOffset>
            </wp:positionH>
            <wp:positionV relativeFrom="paragraph">
              <wp:posOffset>191770</wp:posOffset>
            </wp:positionV>
            <wp:extent cx="5257800" cy="7277100"/>
            <wp:effectExtent l="0" t="0" r="0" b="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5257800" cy="7277100"/>
                    </a:xfrm>
                    <a:prstGeom prst="rect">
                      <a:avLst/>
                    </a:prstGeom>
                    <a:noFill/>
                    <a:ln>
                      <a:noFill/>
                    </a:ln>
                  </pic:spPr>
                </pic:pic>
              </a:graphicData>
            </a:graphic>
          </wp:anchor>
        </w:drawing>
      </w:r>
      <w:r>
        <w:rPr>
          <w:rFonts w:hint="eastAsia" w:ascii="Times New Roman" w:hAnsi="Times New Roman" w:cs="Times New Roman"/>
          <w:b/>
          <w:sz w:val="24"/>
          <w:highlight w:val="none"/>
          <w:lang w:val="en-US" w:eastAsia="zh-CN"/>
        </w:rPr>
        <w:t>附件7检测报告</w:t>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br w:type="textWrapping"/>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6432" behindDoc="0" locked="0" layoutInCell="1" allowOverlap="1">
            <wp:simplePos x="0" y="0"/>
            <wp:positionH relativeFrom="column">
              <wp:posOffset>-44450</wp:posOffset>
            </wp:positionH>
            <wp:positionV relativeFrom="paragraph">
              <wp:posOffset>43180</wp:posOffset>
            </wp:positionV>
            <wp:extent cx="5219700" cy="7467600"/>
            <wp:effectExtent l="0" t="0" r="0" b="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6"/>
                    <a:stretch>
                      <a:fillRect/>
                    </a:stretch>
                  </pic:blipFill>
                  <pic:spPr>
                    <a:xfrm>
                      <a:off x="0" y="0"/>
                      <a:ext cx="5219700" cy="7467600"/>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cols w:space="425" w:num="1"/>
          <w:docGrid w:type="lines" w:linePitch="312" w:charSpace="0"/>
        </w:sectPr>
      </w:pPr>
      <w:r>
        <w:drawing>
          <wp:inline distT="0" distB="0" distL="114300" distR="114300">
            <wp:extent cx="5229225" cy="7315200"/>
            <wp:effectExtent l="0" t="0" r="952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7"/>
                    <a:stretch>
                      <a:fillRect/>
                    </a:stretch>
                  </pic:blipFill>
                  <pic:spPr>
                    <a:xfrm>
                      <a:off x="0" y="0"/>
                      <a:ext cx="5229225" cy="7315200"/>
                    </a:xfrm>
                    <a:prstGeom prst="rect">
                      <a:avLst/>
                    </a:prstGeom>
                    <a:noFill/>
                    <a:ln>
                      <a:noFill/>
                    </a:ln>
                  </pic:spPr>
                </pic:pic>
              </a:graphicData>
            </a:graphic>
          </wp:inline>
        </w:drawing>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8480" behindDoc="0" locked="0" layoutInCell="1" allowOverlap="1">
            <wp:simplePos x="0" y="0"/>
            <wp:positionH relativeFrom="column">
              <wp:posOffset>114300</wp:posOffset>
            </wp:positionH>
            <wp:positionV relativeFrom="paragraph">
              <wp:posOffset>62230</wp:posOffset>
            </wp:positionV>
            <wp:extent cx="5200650" cy="7429500"/>
            <wp:effectExtent l="0" t="0" r="0" b="0"/>
            <wp:wrapTopAndBottom/>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8"/>
                    <a:stretch>
                      <a:fillRect/>
                    </a:stretch>
                  </pic:blipFill>
                  <pic:spPr>
                    <a:xfrm>
                      <a:off x="0" y="0"/>
                      <a:ext cx="5200650" cy="7429500"/>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9504" behindDoc="0" locked="0" layoutInCell="1" allowOverlap="1">
            <wp:simplePos x="0" y="0"/>
            <wp:positionH relativeFrom="column">
              <wp:posOffset>12700</wp:posOffset>
            </wp:positionH>
            <wp:positionV relativeFrom="paragraph">
              <wp:posOffset>-4445</wp:posOffset>
            </wp:positionV>
            <wp:extent cx="5191125" cy="7410450"/>
            <wp:effectExtent l="0" t="0" r="9525" b="0"/>
            <wp:wrapTopAndBottom/>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9"/>
                    <a:stretch>
                      <a:fillRect/>
                    </a:stretch>
                  </pic:blipFill>
                  <pic:spPr>
                    <a:xfrm>
                      <a:off x="0" y="0"/>
                      <a:ext cx="5191125" cy="7410450"/>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70528" behindDoc="0" locked="0" layoutInCell="1" allowOverlap="1">
            <wp:simplePos x="0" y="0"/>
            <wp:positionH relativeFrom="column">
              <wp:posOffset>6350</wp:posOffset>
            </wp:positionH>
            <wp:positionV relativeFrom="paragraph">
              <wp:posOffset>100330</wp:posOffset>
            </wp:positionV>
            <wp:extent cx="5172075" cy="7381875"/>
            <wp:effectExtent l="0" t="0" r="9525" b="9525"/>
            <wp:wrapTopAndBottom/>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0"/>
                    <a:stretch>
                      <a:fillRect/>
                    </a:stretch>
                  </pic:blipFill>
                  <pic:spPr>
                    <a:xfrm>
                      <a:off x="0" y="0"/>
                      <a:ext cx="5172075" cy="7381875"/>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71552" behindDoc="0" locked="0" layoutInCell="1" allowOverlap="1">
            <wp:simplePos x="0" y="0"/>
            <wp:positionH relativeFrom="column">
              <wp:posOffset>0</wp:posOffset>
            </wp:positionH>
            <wp:positionV relativeFrom="paragraph">
              <wp:posOffset>29845</wp:posOffset>
            </wp:positionV>
            <wp:extent cx="5114925" cy="7286625"/>
            <wp:effectExtent l="0" t="0" r="9525" b="9525"/>
            <wp:wrapTopAndBottom/>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1"/>
                    <a:stretch>
                      <a:fillRect/>
                    </a:stretch>
                  </pic:blipFill>
                  <pic:spPr>
                    <a:xfrm>
                      <a:off x="0" y="0"/>
                      <a:ext cx="5114925" cy="7286625"/>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72576" behindDoc="0" locked="0" layoutInCell="1" allowOverlap="1">
            <wp:simplePos x="0" y="0"/>
            <wp:positionH relativeFrom="column">
              <wp:posOffset>0</wp:posOffset>
            </wp:positionH>
            <wp:positionV relativeFrom="paragraph">
              <wp:posOffset>90805</wp:posOffset>
            </wp:positionV>
            <wp:extent cx="5229225" cy="7400925"/>
            <wp:effectExtent l="0" t="0" r="9525" b="9525"/>
            <wp:wrapTopAndBottom/>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2"/>
                    <a:stretch>
                      <a:fillRect/>
                    </a:stretch>
                  </pic:blipFill>
                  <pic:spPr>
                    <a:xfrm>
                      <a:off x="0" y="0"/>
                      <a:ext cx="5229225" cy="740092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cols w:space="425" w:num="1"/>
          <w:docGrid w:type="lines" w:linePitch="312" w:charSpace="0"/>
        </w:sectPr>
      </w:pPr>
      <w:r>
        <w:drawing>
          <wp:inline distT="0" distB="0" distL="114300" distR="114300">
            <wp:extent cx="5019675" cy="7219950"/>
            <wp:effectExtent l="0" t="0" r="952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3"/>
                    <a:stretch>
                      <a:fillRect/>
                    </a:stretch>
                  </pic:blipFill>
                  <pic:spPr>
                    <a:xfrm>
                      <a:off x="0" y="0"/>
                      <a:ext cx="5019675" cy="7219950"/>
                    </a:xfrm>
                    <a:prstGeom prst="rect">
                      <a:avLst/>
                    </a:prstGeom>
                    <a:noFill/>
                    <a:ln>
                      <a:noFill/>
                    </a:ln>
                  </pic:spPr>
                </pic:pic>
              </a:graphicData>
            </a:graphic>
          </wp:inline>
        </w:drawing>
      </w:r>
    </w:p>
    <w:p>
      <w:pPr>
        <w:pStyle w:val="2"/>
        <w:rPr>
          <w:rFonts w:hint="default"/>
          <w:lang w:val="en-US" w:eastAsia="zh-CN"/>
        </w:rPr>
      </w:pPr>
      <w:r>
        <w:drawing>
          <wp:anchor distT="0" distB="0" distL="114300" distR="114300" simplePos="0" relativeHeight="251673600" behindDoc="0" locked="0" layoutInCell="1" allowOverlap="1">
            <wp:simplePos x="0" y="0"/>
            <wp:positionH relativeFrom="column">
              <wp:posOffset>57150</wp:posOffset>
            </wp:positionH>
            <wp:positionV relativeFrom="paragraph">
              <wp:posOffset>90805</wp:posOffset>
            </wp:positionV>
            <wp:extent cx="5162550" cy="7324725"/>
            <wp:effectExtent l="0" t="0" r="0" b="9525"/>
            <wp:wrapTopAndBottom/>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4"/>
                    <a:stretch>
                      <a:fillRect/>
                    </a:stretch>
                  </pic:blipFill>
                  <pic:spPr>
                    <a:xfrm>
                      <a:off x="0" y="0"/>
                      <a:ext cx="5162550" cy="7324725"/>
                    </a:xfrm>
                    <a:prstGeom prst="rect">
                      <a:avLst/>
                    </a:prstGeom>
                    <a:noFill/>
                    <a:ln>
                      <a:noFill/>
                    </a:ln>
                  </pic:spPr>
                </pic:pic>
              </a:graphicData>
            </a:graphic>
          </wp:anchor>
        </w:drawing>
      </w:r>
    </w:p>
    <w:p>
      <w:pPr>
        <w:jc w:val="center"/>
      </w:pPr>
      <w:r>
        <w:rPr>
          <w:sz w:val="21"/>
        </w:rPr>
        <w:drawing>
          <wp:anchor distT="0" distB="0" distL="114300" distR="114300" simplePos="0" relativeHeight="251675648" behindDoc="0" locked="0" layoutInCell="1" allowOverlap="1">
            <wp:simplePos x="0" y="0"/>
            <wp:positionH relativeFrom="column">
              <wp:posOffset>8281035</wp:posOffset>
            </wp:positionH>
            <wp:positionV relativeFrom="paragraph">
              <wp:posOffset>6985</wp:posOffset>
            </wp:positionV>
            <wp:extent cx="1040130" cy="1028700"/>
            <wp:effectExtent l="0" t="0" r="7620" b="0"/>
            <wp:wrapNone/>
            <wp:docPr id="21" name="图片 27" descr="F:\桌面\环评基本资料\风玫瑰\龙口.png龙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F:\桌面\环评基本资料\风玫瑰\龙口.png龙口"/>
                    <pic:cNvPicPr>
                      <a:picLocks noChangeAspect="1"/>
                    </pic:cNvPicPr>
                  </pic:nvPicPr>
                  <pic:blipFill>
                    <a:blip r:embed="rId35"/>
                    <a:stretch>
                      <a:fillRect/>
                    </a:stretch>
                  </pic:blipFill>
                  <pic:spPr>
                    <a:xfrm>
                      <a:off x="0" y="0"/>
                      <a:ext cx="1040130" cy="1028700"/>
                    </a:xfrm>
                    <a:prstGeom prst="rect">
                      <a:avLst/>
                    </a:prstGeom>
                    <a:noFill/>
                    <a:ln w="9525">
                      <a:noFill/>
                    </a:ln>
                  </pic:spPr>
                </pic:pic>
              </a:graphicData>
            </a:graphic>
          </wp:anchor>
        </w:drawing>
      </w:r>
      <w:r>
        <w:rPr>
          <w:sz w:val="21"/>
        </w:rPr>
        <mc:AlternateContent>
          <mc:Choice Requires="wps">
            <w:drawing>
              <wp:anchor distT="0" distB="0" distL="114300" distR="114300" simplePos="0" relativeHeight="251676672" behindDoc="0" locked="0" layoutInCell="1" allowOverlap="1">
                <wp:simplePos x="0" y="0"/>
                <wp:positionH relativeFrom="column">
                  <wp:posOffset>3644265</wp:posOffset>
                </wp:positionH>
                <wp:positionV relativeFrom="paragraph">
                  <wp:posOffset>5553710</wp:posOffset>
                </wp:positionV>
                <wp:extent cx="2199640" cy="4191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199640" cy="419100"/>
                        </a:xfrm>
                        <a:prstGeom prst="rect">
                          <a:avLst/>
                        </a:prstGeom>
                        <a:noFill/>
                        <a:ln w="9525">
                          <a:noFill/>
                        </a:ln>
                      </wps:spPr>
                      <wps:txbx>
                        <w:txbxContent>
                          <w:p>
                            <w:pPr>
                              <w:jc w:val="center"/>
                              <w:rPr>
                                <w:rFonts w:hint="eastAsia" w:eastAsia="宋体"/>
                                <w:b/>
                                <w:bCs/>
                                <w:sz w:val="28"/>
                                <w:szCs w:val="28"/>
                                <w:lang w:eastAsia="zh-CN"/>
                              </w:rPr>
                            </w:pPr>
                            <w:r>
                              <w:rPr>
                                <w:rFonts w:hint="default" w:ascii="Times New Roman" w:hAnsi="Times New Roman" w:eastAsia="新宋体" w:cs="Times New Roman"/>
                                <w:b/>
                                <w:bCs/>
                                <w:sz w:val="24"/>
                                <w:szCs w:val="24"/>
                                <w:lang w:eastAsia="zh-CN"/>
                              </w:rPr>
                              <w:t>附图</w:t>
                            </w:r>
                            <w:r>
                              <w:rPr>
                                <w:rFonts w:hint="default" w:ascii="Times New Roman" w:hAnsi="Times New Roman" w:eastAsia="新宋体" w:cs="Times New Roman"/>
                                <w:b/>
                                <w:bCs/>
                                <w:sz w:val="24"/>
                                <w:szCs w:val="24"/>
                                <w:lang w:val="en-US" w:eastAsia="zh-CN"/>
                              </w:rPr>
                              <w:t xml:space="preserve">1 </w:t>
                            </w:r>
                            <w:r>
                              <w:rPr>
                                <w:rFonts w:hint="eastAsia" w:ascii="Times New Roman" w:hAnsi="Times New Roman" w:eastAsia="新宋体" w:cs="Times New Roman"/>
                                <w:b/>
                                <w:bCs/>
                                <w:sz w:val="24"/>
                                <w:szCs w:val="24"/>
                                <w:lang w:val="en-US" w:eastAsia="zh-CN"/>
                              </w:rPr>
                              <w:t xml:space="preserve"> </w:t>
                            </w:r>
                            <w:r>
                              <w:rPr>
                                <w:rFonts w:hint="default" w:ascii="Times New Roman" w:hAnsi="Times New Roman" w:eastAsia="新宋体" w:cs="Times New Roman"/>
                                <w:b/>
                                <w:bCs/>
                                <w:sz w:val="24"/>
                                <w:szCs w:val="24"/>
                                <w:lang w:eastAsia="zh-CN"/>
                              </w:rPr>
                              <w:t>项目地理位置图</w:t>
                            </w:r>
                          </w:p>
                        </w:txbxContent>
                      </wps:txbx>
                      <wps:bodyPr upright="1"/>
                    </wps:wsp>
                  </a:graphicData>
                </a:graphic>
              </wp:anchor>
            </w:drawing>
          </mc:Choice>
          <mc:Fallback>
            <w:pict>
              <v:shape id="_x0000_s1026" o:spid="_x0000_s1026" o:spt="202" type="#_x0000_t202" style="position:absolute;left:0pt;margin-left:286.95pt;margin-top:437.3pt;height:33pt;width:173.2pt;z-index:251676672;mso-width-relative:page;mso-height-relative:page;" filled="f" stroked="f" coordsize="21600,21600" o:gfxdata="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0gbNR2QAAAAsBAAAPAAAAAAAAAAEAIAAAACIAAABkcnMvZG93bnJldi54bWxQSwECFAAU&#10;AAAACACHTuJAkt61x7cBAABZAwAADgAAAAAAAAABACAAAAAoAQAAZHJzL2Uyb0RvYy54bWxQSwUG&#10;AAAAAAYABgBZAQAAUQUAAAAA&#10;">
                <v:fill on="f" focussize="0,0"/>
                <v:stroke on="f"/>
                <v:imagedata o:title=""/>
                <o:lock v:ext="edit" aspectratio="f"/>
                <v:textbox>
                  <w:txbxContent>
                    <w:p>
                      <w:pPr>
                        <w:jc w:val="center"/>
                        <w:rPr>
                          <w:rFonts w:hint="eastAsia" w:eastAsia="宋体"/>
                          <w:b/>
                          <w:bCs/>
                          <w:sz w:val="28"/>
                          <w:szCs w:val="28"/>
                          <w:lang w:eastAsia="zh-CN"/>
                        </w:rPr>
                      </w:pPr>
                      <w:r>
                        <w:rPr>
                          <w:rFonts w:hint="default" w:ascii="Times New Roman" w:hAnsi="Times New Roman" w:eastAsia="新宋体" w:cs="Times New Roman"/>
                          <w:b/>
                          <w:bCs/>
                          <w:sz w:val="24"/>
                          <w:szCs w:val="24"/>
                          <w:lang w:eastAsia="zh-CN"/>
                        </w:rPr>
                        <w:t>附图</w:t>
                      </w:r>
                      <w:r>
                        <w:rPr>
                          <w:rFonts w:hint="default" w:ascii="Times New Roman" w:hAnsi="Times New Roman" w:eastAsia="新宋体" w:cs="Times New Roman"/>
                          <w:b/>
                          <w:bCs/>
                          <w:sz w:val="24"/>
                          <w:szCs w:val="24"/>
                          <w:lang w:val="en-US" w:eastAsia="zh-CN"/>
                        </w:rPr>
                        <w:t xml:space="preserve">1 </w:t>
                      </w:r>
                      <w:r>
                        <w:rPr>
                          <w:rFonts w:hint="eastAsia" w:ascii="Times New Roman" w:hAnsi="Times New Roman" w:eastAsia="新宋体" w:cs="Times New Roman"/>
                          <w:b/>
                          <w:bCs/>
                          <w:sz w:val="24"/>
                          <w:szCs w:val="24"/>
                          <w:lang w:val="en-US" w:eastAsia="zh-CN"/>
                        </w:rPr>
                        <w:t xml:space="preserve"> </w:t>
                      </w:r>
                      <w:r>
                        <w:rPr>
                          <w:rFonts w:hint="default" w:ascii="Times New Roman" w:hAnsi="Times New Roman" w:eastAsia="新宋体" w:cs="Times New Roman"/>
                          <w:b/>
                          <w:bCs/>
                          <w:sz w:val="24"/>
                          <w:szCs w:val="24"/>
                          <w:lang w:eastAsia="zh-CN"/>
                        </w:rPr>
                        <w:t>项目地理位置图</w:t>
                      </w:r>
                    </w:p>
                  </w:txbxContent>
                </v:textbox>
              </v:shape>
            </w:pict>
          </mc:Fallback>
        </mc:AlternateContent>
      </w:r>
      <w:r>
        <w:rPr>
          <w:sz w:val="21"/>
        </w:rPr>
        <mc:AlternateContent>
          <mc:Choice Requires="wpg">
            <w:drawing>
              <wp:anchor distT="0" distB="0" distL="114300" distR="114300" simplePos="0" relativeHeight="251674624" behindDoc="0" locked="0" layoutInCell="1" allowOverlap="1">
                <wp:simplePos x="0" y="0"/>
                <wp:positionH relativeFrom="column">
                  <wp:posOffset>3801110</wp:posOffset>
                </wp:positionH>
                <wp:positionV relativeFrom="paragraph">
                  <wp:posOffset>560705</wp:posOffset>
                </wp:positionV>
                <wp:extent cx="941070" cy="824865"/>
                <wp:effectExtent l="36195" t="6350" r="13335" b="26035"/>
                <wp:wrapNone/>
                <wp:docPr id="24" name="组合 24"/>
                <wp:cNvGraphicFramePr/>
                <a:graphic xmlns:a="http://schemas.openxmlformats.org/drawingml/2006/main">
                  <a:graphicData uri="http://schemas.microsoft.com/office/word/2010/wordprocessingGroup">
                    <wpg:wgp>
                      <wpg:cNvGrpSpPr/>
                      <wpg:grpSpPr>
                        <a:xfrm>
                          <a:off x="0" y="0"/>
                          <a:ext cx="941070" cy="824865"/>
                          <a:chOff x="10750" y="5193"/>
                          <a:chExt cx="1482" cy="1299"/>
                        </a:xfrm>
                      </wpg:grpSpPr>
                      <wps:wsp>
                        <wps:cNvPr id="25" name="圆角矩形标注 4"/>
                        <wps:cNvSpPr/>
                        <wps:spPr>
                          <a:xfrm>
                            <a:off x="10898" y="5193"/>
                            <a:ext cx="1334" cy="540"/>
                          </a:xfrm>
                          <a:prstGeom prst="wedgeRoundRectCallout">
                            <a:avLst>
                              <a:gd name="adj1" fmla="val -39055"/>
                              <a:gd name="adj2" fmla="val 135000"/>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0000"/>
                                  <w:lang w:eastAsia="zh-CN"/>
                                </w:rPr>
                              </w:pPr>
                              <w:r>
                                <w:rPr>
                                  <w:rFonts w:hint="eastAsia"/>
                                  <w:b/>
                                  <w:bCs/>
                                  <w:color w:val="FF0000"/>
                                  <w:lang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十字星 4"/>
                        <wps:cNvSpPr/>
                        <wps:spPr>
                          <a:xfrm>
                            <a:off x="10750" y="6192"/>
                            <a:ext cx="360" cy="300"/>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99.3pt;margin-top:44.15pt;height:64.95pt;width:74.1pt;z-index:251674624;mso-width-relative:page;mso-height-relative:page;" coordorigin="10750,5193" coordsize="1482,1299" o:gfxdata="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BSFaqv2wAAAAoBAAAPAAAAAAAA&#10;AAEAIAAAACIAAABkcnMvZG93bnJldi54bWxQSwECFAAUAAAACACHTuJAsUDhIJ4DAADiCQAADgAA&#10;AAAAAAABACAAAAAqAQAAZHJzL2Uyb0RvYy54bWxQSwUGAAAAAAYABgBZAQAAOgcAAAAA&#10;">
                <o:lock v:ext="edit" aspectratio="f"/>
                <v:shape id="圆角矩形标注 4" o:spid="_x0000_s1026" o:spt="62" type="#_x0000_t62" style="position:absolute;left:10898;top:5193;height:540;width:1334;v-text-anchor:middle;" fillcolor="#FFFFFF [3212]" filled="t" stroked="t" coordsize="21600,21600" o:gfxdata="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YUY7sAAADb&#10;AAAADwAAAAAAAAABACAAAAAiAAAAZHJzL2Rvd25yZXYueG1sUEsBAhQAFAAAAAgAh07iQDMvBZ47&#10;AAAAOQAAABAAAAAAAAAAAQAgAAAACgEAAGRycy9zaGFwZXhtbC54bWxQSwUGAAAAAAYABgBbAQAA&#10;tAMAAAAA&#10;" adj="2364,39960,14400">
                  <v:fill on="t" focussize="0,0"/>
                  <v:stroke weight="1pt" color="#FF0000 [3204]" miterlimit="8" joinstyle="miter"/>
                  <v:imagedata o:title=""/>
                  <o:lock v:ext="edit" aspectratio="f"/>
                  <v:textbox>
                    <w:txbxContent>
                      <w:p>
                        <w:pPr>
                          <w:jc w:val="center"/>
                          <w:rPr>
                            <w:rFonts w:hint="eastAsia" w:eastAsiaTheme="minorEastAsia"/>
                            <w:b/>
                            <w:bCs/>
                            <w:color w:val="FF0000"/>
                            <w:lang w:eastAsia="zh-CN"/>
                          </w:rPr>
                        </w:pPr>
                        <w:r>
                          <w:rPr>
                            <w:rFonts w:hint="eastAsia"/>
                            <w:b/>
                            <w:bCs/>
                            <w:color w:val="FF0000"/>
                            <w:lang w:eastAsia="zh-CN"/>
                          </w:rPr>
                          <w:t>项目位置</w:t>
                        </w:r>
                      </w:p>
                    </w:txbxContent>
                  </v:textbox>
                </v:shape>
                <v:shape id="十字星 4" o:spid="_x0000_s1026" o:spt="187" type="#_x0000_t187" style="position:absolute;left:10750;top:6192;height:300;width:360;v-text-anchor:middle;" fillcolor="#FF0000" filled="t" stroked="t" coordsize="21600,21600" o:gfxdata="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guo68AAAA&#10;2wAAAA8AAAAAAAAAAQAgAAAAIgAAAGRycy9kb3ducmV2LnhtbFBLAQIUABQAAAAIAIdO4kAzLwWe&#10;OwAAADkAAAAQAAAAAAAAAAEAIAAAAAsBAABkcnMvc2hhcGV4bWwueG1sUEsFBgAAAAAGAAYAWwEA&#10;ALUDAAAAAA==&#10;" adj="8100">
                  <v:fill on="t" focussize="0,0"/>
                  <v:stroke weight="1pt" color="#FF0000 [3204]" miterlimit="8" joinstyle="miter"/>
                  <v:imagedata o:title=""/>
                  <o:lock v:ext="edit" aspectratio="f"/>
                </v:shape>
              </v:group>
            </w:pict>
          </mc:Fallback>
        </mc:AlternateContent>
      </w:r>
      <w:r>
        <w:drawing>
          <wp:inline distT="0" distB="0" distL="114300" distR="114300">
            <wp:extent cx="9311640" cy="5534025"/>
            <wp:effectExtent l="0" t="0" r="381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a:stretch>
                      <a:fillRect/>
                    </a:stretch>
                  </pic:blipFill>
                  <pic:spPr>
                    <a:xfrm>
                      <a:off x="0" y="0"/>
                      <a:ext cx="9311640" cy="5534025"/>
                    </a:xfrm>
                    <a:prstGeom prst="rect">
                      <a:avLst/>
                    </a:prstGeom>
                    <a:noFill/>
                    <a:ln>
                      <a:noFill/>
                    </a:ln>
                  </pic:spPr>
                </pic:pic>
              </a:graphicData>
            </a:graphic>
          </wp:inline>
        </w:drawing>
      </w:r>
    </w:p>
    <w:p>
      <w:pPr>
        <w:sectPr>
          <w:pgSz w:w="16838" w:h="11906" w:orient="landscape"/>
          <w:pgMar w:top="1440" w:right="1080" w:bottom="1440" w:left="1080" w:header="851" w:footer="992" w:gutter="0"/>
          <w:cols w:space="425" w:num="1"/>
          <w:docGrid w:type="lines" w:linePitch="312" w:charSpace="0"/>
        </w:sectPr>
      </w:pPr>
    </w:p>
    <w:p>
      <w:pPr>
        <w:sectPr>
          <w:pgSz w:w="16838" w:h="11906" w:orient="landscape"/>
          <w:pgMar w:top="1440" w:right="1080" w:bottom="1440" w:left="1080" w:header="851" w:footer="992" w:gutter="0"/>
          <w:cols w:space="425" w:num="1"/>
          <w:docGrid w:type="lines" w:linePitch="312" w:charSpace="0"/>
        </w:sectPr>
      </w:pPr>
      <w:r>
        <w:rPr>
          <w:sz w:val="21"/>
        </w:rPr>
        <mc:AlternateContent>
          <mc:Choice Requires="wps">
            <w:drawing>
              <wp:anchor distT="0" distB="0" distL="114300" distR="114300" simplePos="0" relativeHeight="251677696" behindDoc="0" locked="0" layoutInCell="1" allowOverlap="1">
                <wp:simplePos x="0" y="0"/>
                <wp:positionH relativeFrom="column">
                  <wp:posOffset>1952625</wp:posOffset>
                </wp:positionH>
                <wp:positionV relativeFrom="paragraph">
                  <wp:posOffset>5795010</wp:posOffset>
                </wp:positionV>
                <wp:extent cx="5524500" cy="35242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524500" cy="352425"/>
                        </a:xfrm>
                        <a:prstGeom prst="rect">
                          <a:avLst/>
                        </a:prstGeom>
                        <a:noFill/>
                        <a:ln w="6350">
                          <a:noFill/>
                        </a:ln>
                        <a:effectLst/>
                      </wps:spPr>
                      <wps:txbx>
                        <w:txbxContent>
                          <w:p>
                            <w:pPr>
                              <w:jc w:val="center"/>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eastAsia="zh-CN"/>
                              </w:rPr>
                              <w:t>附图</w:t>
                            </w: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lang w:val="en-US" w:eastAsia="zh-CN"/>
                              </w:rPr>
                              <w:t>项目周边</w:t>
                            </w:r>
                            <w:r>
                              <w:rPr>
                                <w:rFonts w:hint="eastAsia" w:ascii="Times New Roman" w:hAnsi="Times New Roman" w:cs="Times New Roman"/>
                                <w:b/>
                                <w:bCs/>
                                <w:sz w:val="24"/>
                                <w:szCs w:val="24"/>
                                <w:lang w:val="en-US" w:eastAsia="zh-CN"/>
                              </w:rPr>
                              <w:t>主要</w:t>
                            </w:r>
                            <w:r>
                              <w:rPr>
                                <w:rFonts w:hint="default" w:ascii="Times New Roman" w:hAnsi="Times New Roman" w:cs="Times New Roman"/>
                                <w:b/>
                                <w:bCs/>
                                <w:sz w:val="24"/>
                                <w:szCs w:val="24"/>
                                <w:lang w:val="en-US" w:eastAsia="zh-CN"/>
                              </w:rPr>
                              <w:t>敏感目标分布图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5pt;margin-top:456.3pt;height:27.75pt;width:435pt;z-index:251677696;mso-width-relative:page;mso-height-relative:page;" filled="f" stroked="f" coordsize="21600,21600" o:gfxdata="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XaVu9sAAAAMAQAADwAAAAAAAAABACAAAAAi&#10;AAAAZHJzL2Rvd25yZXYueG1sUEsBAhQAFAAAAAgAh07iQJkjqSZAAgAAdgQAAA4AAAAAAAAAAQAg&#10;AAAAKgEAAGRycy9lMm9Eb2MueG1sUEsFBgAAAAAGAAYAWQEAANwFA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eastAsia="zh-CN"/>
                        </w:rPr>
                        <w:t>附图</w:t>
                      </w: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lang w:val="en-US" w:eastAsia="zh-CN"/>
                        </w:rPr>
                        <w:t>项目周边</w:t>
                      </w:r>
                      <w:r>
                        <w:rPr>
                          <w:rFonts w:hint="eastAsia" w:ascii="Times New Roman" w:hAnsi="Times New Roman" w:cs="Times New Roman"/>
                          <w:b/>
                          <w:bCs/>
                          <w:sz w:val="24"/>
                          <w:szCs w:val="24"/>
                          <w:lang w:val="en-US" w:eastAsia="zh-CN"/>
                        </w:rPr>
                        <w:t>主要</w:t>
                      </w:r>
                      <w:r>
                        <w:rPr>
                          <w:rFonts w:hint="default" w:ascii="Times New Roman" w:hAnsi="Times New Roman" w:cs="Times New Roman"/>
                          <w:b/>
                          <w:bCs/>
                          <w:sz w:val="24"/>
                          <w:szCs w:val="24"/>
                          <w:lang w:val="en-US" w:eastAsia="zh-CN"/>
                        </w:rPr>
                        <w:t>敏感目标分布图</w:t>
                      </w:r>
                    </w:p>
                  </w:txbxContent>
                </v:textbox>
              </v:shape>
            </w:pict>
          </mc:Fallback>
        </mc:AlternateContent>
      </w:r>
      <w:r>
        <w:drawing>
          <wp:inline distT="0" distB="0" distL="114300" distR="114300">
            <wp:extent cx="9315450" cy="5804535"/>
            <wp:effectExtent l="0" t="0" r="0" b="571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37"/>
                    <a:stretch>
                      <a:fillRect/>
                    </a:stretch>
                  </pic:blipFill>
                  <pic:spPr>
                    <a:xfrm>
                      <a:off x="0" y="0"/>
                      <a:ext cx="9315450" cy="5804535"/>
                    </a:xfrm>
                    <a:prstGeom prst="rect">
                      <a:avLst/>
                    </a:prstGeom>
                    <a:noFill/>
                    <a:ln>
                      <a:noFill/>
                    </a:ln>
                  </pic:spPr>
                </pic:pic>
              </a:graphicData>
            </a:graphic>
          </wp:inline>
        </w:drawing>
      </w:r>
    </w:p>
    <w:p>
      <w:pPr>
        <w:jc w:val="center"/>
        <w:rPr>
          <w:rFonts w:hint="default" w:eastAsiaTheme="minorEastAsia"/>
          <w:lang w:val="en-US" w:eastAsia="zh-CN"/>
        </w:rPr>
        <w:sectPr>
          <w:pgSz w:w="16838" w:h="11906" w:orient="landscape"/>
          <w:pgMar w:top="1440" w:right="1080" w:bottom="1440" w:left="1080" w:header="851" w:footer="992" w:gutter="0"/>
          <w:cols w:space="425" w:num="1"/>
          <w:docGrid w:type="lines" w:linePitch="312" w:charSpace="0"/>
        </w:sectPr>
      </w:pPr>
      <w:r>
        <w:rPr>
          <w:color w:val="auto"/>
          <w:sz w:val="21"/>
        </w:rPr>
        <w:drawing>
          <wp:anchor distT="0" distB="0" distL="114300" distR="114300" simplePos="0" relativeHeight="251680768" behindDoc="0" locked="0" layoutInCell="1" allowOverlap="1">
            <wp:simplePos x="0" y="0"/>
            <wp:positionH relativeFrom="column">
              <wp:posOffset>8165465</wp:posOffset>
            </wp:positionH>
            <wp:positionV relativeFrom="paragraph">
              <wp:posOffset>-574040</wp:posOffset>
            </wp:positionV>
            <wp:extent cx="1040130" cy="1028700"/>
            <wp:effectExtent l="0" t="0" r="7620" b="0"/>
            <wp:wrapNone/>
            <wp:docPr id="30" name="图片 5" descr="F:\桌面\环评基本资料\风玫瑰\龙口.png龙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F:\桌面\环评基本资料\风玫瑰\龙口.png龙口"/>
                    <pic:cNvPicPr>
                      <a:picLocks noChangeAspect="1"/>
                    </pic:cNvPicPr>
                  </pic:nvPicPr>
                  <pic:blipFill>
                    <a:blip r:embed="rId35"/>
                    <a:stretch>
                      <a:fillRect/>
                    </a:stretch>
                  </pic:blipFill>
                  <pic:spPr>
                    <a:xfrm>
                      <a:off x="0" y="0"/>
                      <a:ext cx="1040130" cy="1028700"/>
                    </a:xfrm>
                    <a:prstGeom prst="rect">
                      <a:avLst/>
                    </a:prstGeom>
                    <a:noFill/>
                    <a:ln>
                      <a:noFill/>
                    </a:ln>
                  </pic:spPr>
                </pic:pic>
              </a:graphicData>
            </a:graphic>
          </wp:anchor>
        </w:drawing>
      </w:r>
      <w:r>
        <w:rPr>
          <w:color w:val="auto"/>
          <w:sz w:val="21"/>
        </w:rPr>
        <mc:AlternateContent>
          <mc:Choice Requires="wps">
            <w:drawing>
              <wp:anchor distT="0" distB="0" distL="114300" distR="114300" simplePos="0" relativeHeight="251679744" behindDoc="0" locked="0" layoutInCell="1" allowOverlap="1">
                <wp:simplePos x="0" y="0"/>
                <wp:positionH relativeFrom="column">
                  <wp:posOffset>3919855</wp:posOffset>
                </wp:positionH>
                <wp:positionV relativeFrom="paragraph">
                  <wp:posOffset>5157470</wp:posOffset>
                </wp:positionV>
                <wp:extent cx="2199640" cy="4191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199640" cy="419100"/>
                        </a:xfrm>
                        <a:prstGeom prst="rect">
                          <a:avLst/>
                        </a:prstGeom>
                        <a:noFill/>
                        <a:ln w="9525">
                          <a:noFill/>
                        </a:ln>
                        <a:effectLst/>
                      </wps:spPr>
                      <wps:txbx>
                        <w:txbxContent>
                          <w:p>
                            <w:pPr>
                              <w:jc w:val="center"/>
                              <w:rPr>
                                <w:rFonts w:hint="eastAsia" w:eastAsia="宋体"/>
                                <w:b/>
                                <w:bCs/>
                                <w:sz w:val="28"/>
                                <w:szCs w:val="28"/>
                                <w:lang w:eastAsia="zh-CN"/>
                              </w:rPr>
                            </w:pPr>
                            <w:r>
                              <w:rPr>
                                <w:rFonts w:hint="default" w:ascii="Times New Roman" w:hAnsi="Times New Roman" w:eastAsia="新宋体" w:cs="Times New Roman"/>
                                <w:b/>
                                <w:bCs/>
                                <w:sz w:val="24"/>
                                <w:szCs w:val="24"/>
                                <w:lang w:eastAsia="zh-CN"/>
                              </w:rPr>
                              <w:t>附图</w:t>
                            </w:r>
                            <w:r>
                              <w:rPr>
                                <w:rFonts w:hint="eastAsia" w:ascii="Times New Roman" w:hAnsi="Times New Roman" w:eastAsia="新宋体" w:cs="Times New Roman"/>
                                <w:b/>
                                <w:bCs/>
                                <w:sz w:val="24"/>
                                <w:szCs w:val="24"/>
                                <w:lang w:val="en-US" w:eastAsia="zh-CN"/>
                              </w:rPr>
                              <w:t xml:space="preserve">3   </w:t>
                            </w:r>
                            <w:r>
                              <w:rPr>
                                <w:rFonts w:hint="default" w:ascii="Times New Roman" w:hAnsi="Times New Roman" w:eastAsia="新宋体" w:cs="Times New Roman"/>
                                <w:b/>
                                <w:bCs/>
                                <w:sz w:val="24"/>
                                <w:szCs w:val="24"/>
                                <w:lang w:eastAsia="zh-CN"/>
                              </w:rPr>
                              <w:t>项目</w:t>
                            </w:r>
                            <w:r>
                              <w:rPr>
                                <w:rFonts w:hint="eastAsia" w:ascii="Times New Roman" w:hAnsi="Times New Roman" w:eastAsia="新宋体" w:cs="Times New Roman"/>
                                <w:b/>
                                <w:bCs/>
                                <w:sz w:val="24"/>
                                <w:szCs w:val="24"/>
                                <w:lang w:eastAsia="zh-CN"/>
                              </w:rPr>
                              <w:t>平面布置</w:t>
                            </w:r>
                            <w:r>
                              <w:rPr>
                                <w:rFonts w:hint="default" w:ascii="Times New Roman" w:hAnsi="Times New Roman" w:eastAsia="新宋体" w:cs="Times New Roman"/>
                                <w:b/>
                                <w:bCs/>
                                <w:sz w:val="24"/>
                                <w:szCs w:val="24"/>
                                <w:lang w:eastAsia="zh-CN"/>
                              </w:rPr>
                              <w:t>图</w:t>
                            </w:r>
                          </w:p>
                        </w:txbxContent>
                      </wps:txbx>
                      <wps:bodyPr upright="1"/>
                    </wps:wsp>
                  </a:graphicData>
                </a:graphic>
              </wp:anchor>
            </w:drawing>
          </mc:Choice>
          <mc:Fallback>
            <w:pict>
              <v:shape id="_x0000_s1026" o:spid="_x0000_s1026" o:spt="202" type="#_x0000_t202" style="position:absolute;left:0pt;margin-left:308.65pt;margin-top:406.1pt;height:33pt;width:173.2pt;z-index:251679744;mso-width-relative:page;mso-height-relative:page;" filled="f" stroked="f" coordsize="21600,21600" o:gfxdata="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wXO5zZAAAACwEAAA8AAAAAAAAAAQAgAAAAIgAAAGRycy9kb3ducmV2LnhtbFBL&#10;AQIUABQAAAAIAIdO4kDygl4BvAEAAGcDAAAOAAAAAAAAAAEAIAAAACgBAABkcnMvZTJvRG9jLnht&#10;bFBLBQYAAAAABgAGAFkBAABWBQAAAAA=&#10;">
                <v:fill on="f" focussize="0,0"/>
                <v:stroke on="f"/>
                <v:imagedata o:title=""/>
                <o:lock v:ext="edit" aspectratio="f"/>
                <v:textbox>
                  <w:txbxContent>
                    <w:p>
                      <w:pPr>
                        <w:jc w:val="center"/>
                        <w:rPr>
                          <w:rFonts w:hint="eastAsia" w:eastAsia="宋体"/>
                          <w:b/>
                          <w:bCs/>
                          <w:sz w:val="28"/>
                          <w:szCs w:val="28"/>
                          <w:lang w:eastAsia="zh-CN"/>
                        </w:rPr>
                      </w:pPr>
                      <w:r>
                        <w:rPr>
                          <w:rFonts w:hint="default" w:ascii="Times New Roman" w:hAnsi="Times New Roman" w:eastAsia="新宋体" w:cs="Times New Roman"/>
                          <w:b/>
                          <w:bCs/>
                          <w:sz w:val="24"/>
                          <w:szCs w:val="24"/>
                          <w:lang w:eastAsia="zh-CN"/>
                        </w:rPr>
                        <w:t>附图</w:t>
                      </w:r>
                      <w:r>
                        <w:rPr>
                          <w:rFonts w:hint="eastAsia" w:ascii="Times New Roman" w:hAnsi="Times New Roman" w:eastAsia="新宋体" w:cs="Times New Roman"/>
                          <w:b/>
                          <w:bCs/>
                          <w:sz w:val="24"/>
                          <w:szCs w:val="24"/>
                          <w:lang w:val="en-US" w:eastAsia="zh-CN"/>
                        </w:rPr>
                        <w:t xml:space="preserve">3   </w:t>
                      </w:r>
                      <w:r>
                        <w:rPr>
                          <w:rFonts w:hint="default" w:ascii="Times New Roman" w:hAnsi="Times New Roman" w:eastAsia="新宋体" w:cs="Times New Roman"/>
                          <w:b/>
                          <w:bCs/>
                          <w:sz w:val="24"/>
                          <w:szCs w:val="24"/>
                          <w:lang w:eastAsia="zh-CN"/>
                        </w:rPr>
                        <w:t>项目</w:t>
                      </w:r>
                      <w:r>
                        <w:rPr>
                          <w:rFonts w:hint="eastAsia" w:ascii="Times New Roman" w:hAnsi="Times New Roman" w:eastAsia="新宋体" w:cs="Times New Roman"/>
                          <w:b/>
                          <w:bCs/>
                          <w:sz w:val="24"/>
                          <w:szCs w:val="24"/>
                          <w:lang w:eastAsia="zh-CN"/>
                        </w:rPr>
                        <w:t>平面布置</w:t>
                      </w:r>
                      <w:r>
                        <w:rPr>
                          <w:rFonts w:hint="default" w:ascii="Times New Roman" w:hAnsi="Times New Roman" w:eastAsia="新宋体" w:cs="Times New Roman"/>
                          <w:b/>
                          <w:bCs/>
                          <w:sz w:val="24"/>
                          <w:szCs w:val="24"/>
                          <w:lang w:eastAsia="zh-CN"/>
                        </w:rPr>
                        <w:t>图</w:t>
                      </w:r>
                    </w:p>
                  </w:txbxContent>
                </v:textbox>
              </v:shape>
            </w:pict>
          </mc:Fallback>
        </mc:AlternateContent>
      </w:r>
      <w:r>
        <w:drawing>
          <wp:anchor distT="0" distB="0" distL="114300" distR="114300" simplePos="0" relativeHeight="251678720" behindDoc="1" locked="0" layoutInCell="1" allowOverlap="1">
            <wp:simplePos x="0" y="0"/>
            <wp:positionH relativeFrom="column">
              <wp:posOffset>-255270</wp:posOffset>
            </wp:positionH>
            <wp:positionV relativeFrom="paragraph">
              <wp:posOffset>-19050</wp:posOffset>
            </wp:positionV>
            <wp:extent cx="9620250" cy="4507865"/>
            <wp:effectExtent l="0" t="0" r="0" b="6985"/>
            <wp:wrapNone/>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38"/>
                    <a:stretch>
                      <a:fillRect/>
                    </a:stretch>
                  </pic:blipFill>
                  <pic:spPr>
                    <a:xfrm>
                      <a:off x="0" y="0"/>
                      <a:ext cx="9620250" cy="4507865"/>
                    </a:xfrm>
                    <a:prstGeom prst="rect">
                      <a:avLst/>
                    </a:prstGeom>
                    <a:noFill/>
                    <a:ln>
                      <a:noFill/>
                    </a:ln>
                  </pic:spPr>
                </pic:pic>
              </a:graphicData>
            </a:graphic>
          </wp:anchor>
        </w:drawing>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4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eastAsiaTheme="minorEastAsia"/>
                <w:vertAlign w:val="baseline"/>
                <w:lang w:val="en-US" w:eastAsia="zh-CN"/>
              </w:rPr>
            </w:pPr>
            <w:r>
              <w:rPr>
                <w:rFonts w:hint="default" w:ascii="仿宋" w:hAnsi="仿宋" w:eastAsia="仿宋" w:cs="仿宋"/>
                <w:sz w:val="32"/>
                <w:szCs w:val="32"/>
                <w:lang w:val="en-US" w:eastAsia="zh-CN"/>
              </w:rPr>
              <w:drawing>
                <wp:inline distT="0" distB="0" distL="114300" distR="114300">
                  <wp:extent cx="2601595" cy="1512570"/>
                  <wp:effectExtent l="0" t="0" r="8255" b="11430"/>
                  <wp:docPr id="33" name="图片 33" descr="453beb7f551ceec7efc6d8e863f3412"/>
                  <wp:cNvGraphicFramePr/>
                  <a:graphic xmlns:a="http://schemas.openxmlformats.org/drawingml/2006/main">
                    <a:graphicData uri="http://schemas.openxmlformats.org/drawingml/2006/picture">
                      <pic:pic xmlns:pic="http://schemas.openxmlformats.org/drawingml/2006/picture">
                        <pic:nvPicPr>
                          <pic:cNvPr id="33" name="图片 33" descr="453beb7f551ceec7efc6d8e863f3412"/>
                          <pic:cNvPicPr/>
                        </pic:nvPicPr>
                        <pic:blipFill>
                          <a:blip r:embed="rId39"/>
                          <a:stretch>
                            <a:fillRect/>
                          </a:stretch>
                        </pic:blipFill>
                        <pic:spPr>
                          <a:xfrm>
                            <a:off x="0" y="0"/>
                            <a:ext cx="2601595" cy="1512570"/>
                          </a:xfrm>
                          <a:prstGeom prst="rect">
                            <a:avLst/>
                          </a:prstGeom>
                        </pic:spPr>
                      </pic:pic>
                    </a:graphicData>
                  </a:graphic>
                </wp:inline>
              </w:drawing>
            </w:r>
          </w:p>
        </w:tc>
        <w:tc>
          <w:tcPr>
            <w:tcW w:w="4621" w:type="dxa"/>
          </w:tcPr>
          <w:p>
            <w:pPr>
              <w:jc w:val="center"/>
              <w:rPr>
                <w:rFonts w:hint="eastAsia" w:eastAsiaTheme="minorEastAsia"/>
                <w:vertAlign w:val="baseline"/>
                <w:lang w:val="en-US" w:eastAsia="zh-CN"/>
              </w:rPr>
            </w:pPr>
            <w:r>
              <w:rPr>
                <w:rFonts w:hint="default" w:ascii="仿宋" w:hAnsi="仿宋" w:eastAsia="仿宋" w:cs="仿宋"/>
                <w:sz w:val="32"/>
                <w:szCs w:val="32"/>
                <w:lang w:val="en-US" w:eastAsia="zh-CN"/>
              </w:rPr>
              <w:drawing>
                <wp:inline distT="0" distB="0" distL="114300" distR="114300">
                  <wp:extent cx="2515870" cy="1445260"/>
                  <wp:effectExtent l="0" t="0" r="17780" b="2540"/>
                  <wp:docPr id="34" name="图片 34" descr="36c14346141f8403665fef6d60adbe8"/>
                  <wp:cNvGraphicFramePr/>
                  <a:graphic xmlns:a="http://schemas.openxmlformats.org/drawingml/2006/main">
                    <a:graphicData uri="http://schemas.openxmlformats.org/drawingml/2006/picture">
                      <pic:pic xmlns:pic="http://schemas.openxmlformats.org/drawingml/2006/picture">
                        <pic:nvPicPr>
                          <pic:cNvPr id="34" name="图片 34" descr="36c14346141f8403665fef6d60adbe8"/>
                          <pic:cNvPicPr/>
                        </pic:nvPicPr>
                        <pic:blipFill>
                          <a:blip r:embed="rId40"/>
                          <a:stretch>
                            <a:fillRect/>
                          </a:stretch>
                        </pic:blipFill>
                        <pic:spPr>
                          <a:xfrm>
                            <a:off x="0" y="0"/>
                            <a:ext cx="2515870" cy="1445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eastAsiaTheme="minorEastAsia"/>
                <w:vertAlign w:val="baseline"/>
                <w:lang w:val="en-US" w:eastAsia="zh-CN"/>
              </w:rPr>
            </w:pPr>
            <w:r>
              <w:rPr>
                <w:rFonts w:hint="eastAsia"/>
                <w:vertAlign w:val="baseline"/>
                <w:lang w:val="en-US" w:eastAsia="zh-CN"/>
              </w:rPr>
              <w:t>脉冲布袋除尘器</w:t>
            </w:r>
          </w:p>
        </w:tc>
        <w:tc>
          <w:tcPr>
            <w:tcW w:w="4621" w:type="dxa"/>
          </w:tcPr>
          <w:p>
            <w:pPr>
              <w:jc w:val="center"/>
              <w:rPr>
                <w:rFonts w:hint="eastAsia" w:eastAsiaTheme="minorEastAsia"/>
                <w:vertAlign w:val="baseline"/>
                <w:lang w:val="en-US" w:eastAsia="zh-CN"/>
              </w:rPr>
            </w:pPr>
            <w:r>
              <w:rPr>
                <w:rFonts w:hint="eastAsia"/>
                <w:vertAlign w:val="baseline"/>
                <w:lang w:val="en-US" w:eastAsia="zh-CN"/>
              </w:rPr>
              <w:t>单跑车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eastAsiaTheme="minorEastAsia"/>
                <w:vertAlign w:val="baseline"/>
                <w:lang w:val="en-US" w:eastAsia="zh-CN"/>
              </w:rPr>
            </w:pPr>
            <w:r>
              <w:rPr>
                <w:rFonts w:hint="default" w:ascii="仿宋" w:hAnsi="仿宋" w:eastAsia="仿宋" w:cs="仿宋"/>
                <w:sz w:val="32"/>
                <w:szCs w:val="32"/>
                <w:lang w:val="en-US" w:eastAsia="zh-CN"/>
              </w:rPr>
              <w:drawing>
                <wp:inline distT="0" distB="0" distL="114300" distR="114300">
                  <wp:extent cx="2654935" cy="1351280"/>
                  <wp:effectExtent l="0" t="0" r="12065" b="1270"/>
                  <wp:docPr id="35" name="图片 35" descr="4d4eaeb8b21573b8ef1545ef3740e89"/>
                  <wp:cNvGraphicFramePr/>
                  <a:graphic xmlns:a="http://schemas.openxmlformats.org/drawingml/2006/main">
                    <a:graphicData uri="http://schemas.openxmlformats.org/drawingml/2006/picture">
                      <pic:pic xmlns:pic="http://schemas.openxmlformats.org/drawingml/2006/picture">
                        <pic:nvPicPr>
                          <pic:cNvPr id="35" name="图片 35" descr="4d4eaeb8b21573b8ef1545ef3740e89"/>
                          <pic:cNvPicPr/>
                        </pic:nvPicPr>
                        <pic:blipFill>
                          <a:blip r:embed="rId41"/>
                          <a:stretch>
                            <a:fillRect/>
                          </a:stretch>
                        </pic:blipFill>
                        <pic:spPr>
                          <a:xfrm>
                            <a:off x="0" y="0"/>
                            <a:ext cx="2654935" cy="1351280"/>
                          </a:xfrm>
                          <a:prstGeom prst="rect">
                            <a:avLst/>
                          </a:prstGeom>
                        </pic:spPr>
                      </pic:pic>
                    </a:graphicData>
                  </a:graphic>
                </wp:inline>
              </w:drawing>
            </w:r>
          </w:p>
        </w:tc>
        <w:tc>
          <w:tcPr>
            <w:tcW w:w="4621" w:type="dxa"/>
          </w:tcPr>
          <w:p>
            <w:pPr>
              <w:jc w:val="center"/>
              <w:rPr>
                <w:rFonts w:hint="eastAsia" w:eastAsiaTheme="minorEastAsia"/>
                <w:vertAlign w:val="baseline"/>
                <w:lang w:val="en-US" w:eastAsia="zh-CN"/>
              </w:rPr>
            </w:pPr>
            <w:r>
              <w:rPr>
                <w:rFonts w:hint="eastAsia" w:ascii="仿宋" w:hAnsi="仿宋" w:eastAsia="仿宋" w:cs="仿宋"/>
                <w:sz w:val="32"/>
                <w:szCs w:val="32"/>
                <w:lang w:val="en-US" w:eastAsia="zh-CN"/>
              </w:rPr>
              <w:drawing>
                <wp:inline distT="0" distB="0" distL="114300" distR="114300">
                  <wp:extent cx="2465070" cy="1294130"/>
                  <wp:effectExtent l="0" t="0" r="11430" b="1270"/>
                  <wp:docPr id="36" name="图片 36" descr="53f23363f96316f344111fe874ce158"/>
                  <wp:cNvGraphicFramePr/>
                  <a:graphic xmlns:a="http://schemas.openxmlformats.org/drawingml/2006/main">
                    <a:graphicData uri="http://schemas.openxmlformats.org/drawingml/2006/picture">
                      <pic:pic xmlns:pic="http://schemas.openxmlformats.org/drawingml/2006/picture">
                        <pic:nvPicPr>
                          <pic:cNvPr id="36" name="图片 36" descr="53f23363f96316f344111fe874ce158"/>
                          <pic:cNvPicPr/>
                        </pic:nvPicPr>
                        <pic:blipFill>
                          <a:blip r:embed="rId42"/>
                          <a:stretch>
                            <a:fillRect/>
                          </a:stretch>
                        </pic:blipFill>
                        <pic:spPr>
                          <a:xfrm>
                            <a:off x="0" y="0"/>
                            <a:ext cx="2465070" cy="12941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21" w:type="dxa"/>
          </w:tcPr>
          <w:p>
            <w:pPr>
              <w:jc w:val="center"/>
              <w:rPr>
                <w:rFonts w:hint="default" w:eastAsiaTheme="minorEastAsia"/>
                <w:vertAlign w:val="baseline"/>
                <w:lang w:val="en-US" w:eastAsia="zh-CN"/>
              </w:rPr>
            </w:pPr>
            <w:r>
              <w:rPr>
                <w:rFonts w:hint="default" w:eastAsiaTheme="minorEastAsia"/>
                <w:vertAlign w:val="baseline"/>
                <w:lang w:val="en-US" w:eastAsia="zh-CN"/>
              </w:rPr>
              <w:t>自动多片纵锯机</w:t>
            </w:r>
          </w:p>
        </w:tc>
        <w:tc>
          <w:tcPr>
            <w:tcW w:w="4621" w:type="dxa"/>
          </w:tcPr>
          <w:p>
            <w:pPr>
              <w:jc w:val="center"/>
              <w:rPr>
                <w:rFonts w:hint="default" w:eastAsiaTheme="minorEastAsia"/>
                <w:vertAlign w:val="baseline"/>
                <w:lang w:val="en-US" w:eastAsia="zh-CN"/>
              </w:rPr>
            </w:pPr>
            <w:r>
              <w:rPr>
                <w:rFonts w:hint="default" w:eastAsiaTheme="minorEastAsia"/>
                <w:vertAlign w:val="baseline"/>
                <w:lang w:val="en-US" w:eastAsia="zh-CN"/>
              </w:rPr>
              <w:t>立式带锯机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vertAlign w:val="baseline"/>
                <w:lang w:val="en-US" w:eastAsia="zh-CN"/>
              </w:rPr>
            </w:pPr>
            <w:r>
              <w:rPr>
                <w:rFonts w:hint="default" w:ascii="仿宋" w:hAnsi="仿宋" w:eastAsia="仿宋" w:cs="仿宋"/>
                <w:sz w:val="32"/>
                <w:szCs w:val="32"/>
                <w:lang w:val="en-US" w:eastAsia="zh-CN"/>
              </w:rPr>
              <w:drawing>
                <wp:inline distT="0" distB="0" distL="114300" distR="114300">
                  <wp:extent cx="2731135" cy="1245870"/>
                  <wp:effectExtent l="0" t="0" r="12065" b="11430"/>
                  <wp:docPr id="37" name="图片 37" descr="c8cee32cd866a972a449487eb9e42b5"/>
                  <wp:cNvGraphicFramePr/>
                  <a:graphic xmlns:a="http://schemas.openxmlformats.org/drawingml/2006/main">
                    <a:graphicData uri="http://schemas.openxmlformats.org/drawingml/2006/picture">
                      <pic:pic xmlns:pic="http://schemas.openxmlformats.org/drawingml/2006/picture">
                        <pic:nvPicPr>
                          <pic:cNvPr id="37" name="图片 37" descr="c8cee32cd866a972a449487eb9e42b5"/>
                          <pic:cNvPicPr/>
                        </pic:nvPicPr>
                        <pic:blipFill>
                          <a:blip r:embed="rId43"/>
                          <a:stretch>
                            <a:fillRect/>
                          </a:stretch>
                        </pic:blipFill>
                        <pic:spPr>
                          <a:xfrm>
                            <a:off x="0" y="0"/>
                            <a:ext cx="2731135" cy="1245870"/>
                          </a:xfrm>
                          <a:prstGeom prst="rect">
                            <a:avLst/>
                          </a:prstGeom>
                        </pic:spPr>
                      </pic:pic>
                    </a:graphicData>
                  </a:graphic>
                </wp:inline>
              </w:drawing>
            </w:r>
          </w:p>
        </w:tc>
        <w:tc>
          <w:tcPr>
            <w:tcW w:w="4621" w:type="dxa"/>
          </w:tcPr>
          <w:p>
            <w:pPr>
              <w:jc w:val="center"/>
              <w:rPr>
                <w:rFonts w:hint="eastAsia"/>
                <w:vertAlign w:val="baseline"/>
                <w:lang w:val="en-US" w:eastAsia="zh-CN"/>
              </w:rPr>
            </w:pPr>
            <w:r>
              <w:rPr>
                <w:rFonts w:hint="default" w:ascii="仿宋" w:hAnsi="仿宋" w:eastAsia="仿宋" w:cs="仿宋"/>
                <w:sz w:val="32"/>
                <w:szCs w:val="32"/>
                <w:lang w:val="en-US" w:eastAsia="zh-CN"/>
              </w:rPr>
              <w:drawing>
                <wp:inline distT="0" distB="0" distL="114300" distR="114300">
                  <wp:extent cx="2598420" cy="1273810"/>
                  <wp:effectExtent l="0" t="0" r="11430" b="2540"/>
                  <wp:docPr id="38" name="图片 38" descr="a069889a20c9eaa268b6e4e75c736ec"/>
                  <wp:cNvGraphicFramePr/>
                  <a:graphic xmlns:a="http://schemas.openxmlformats.org/drawingml/2006/main">
                    <a:graphicData uri="http://schemas.openxmlformats.org/drawingml/2006/picture">
                      <pic:pic xmlns:pic="http://schemas.openxmlformats.org/drawingml/2006/picture">
                        <pic:nvPicPr>
                          <pic:cNvPr id="38" name="图片 38" descr="a069889a20c9eaa268b6e4e75c736ec"/>
                          <pic:cNvPicPr/>
                        </pic:nvPicPr>
                        <pic:blipFill>
                          <a:blip r:embed="rId44"/>
                          <a:stretch>
                            <a:fillRect/>
                          </a:stretch>
                        </pic:blipFill>
                        <pic:spPr>
                          <a:xfrm>
                            <a:off x="0" y="0"/>
                            <a:ext cx="2598420" cy="12738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default"/>
                <w:vertAlign w:val="baseline"/>
                <w:lang w:val="en-US" w:eastAsia="zh-CN"/>
              </w:rPr>
            </w:pPr>
            <w:bookmarkStart w:id="2" w:name="_GoBack"/>
            <w:r>
              <w:rPr>
                <w:rFonts w:hint="default"/>
                <w:highlight w:val="none"/>
                <w:vertAlign w:val="baseline"/>
                <w:lang w:val="en-US" w:eastAsia="zh-CN"/>
              </w:rPr>
              <w:t>轮锯</w:t>
            </w:r>
            <w:bookmarkEnd w:id="2"/>
          </w:p>
        </w:tc>
        <w:tc>
          <w:tcPr>
            <w:tcW w:w="4621" w:type="dxa"/>
          </w:tcPr>
          <w:p>
            <w:pPr>
              <w:jc w:val="center"/>
              <w:rPr>
                <w:rFonts w:hint="default"/>
                <w:vertAlign w:val="baseline"/>
                <w:lang w:val="en-US" w:eastAsia="zh-CN"/>
              </w:rPr>
            </w:pPr>
            <w:r>
              <w:rPr>
                <w:rFonts w:hint="default"/>
                <w:vertAlign w:val="baseline"/>
                <w:lang w:val="en-US" w:eastAsia="zh-CN"/>
              </w:rPr>
              <w:t>空气压缩机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vertAlign w:val="baseline"/>
                <w:lang w:val="en-US" w:eastAsia="zh-CN"/>
              </w:rPr>
            </w:pPr>
            <w:r>
              <w:rPr>
                <w:rFonts w:hint="default" w:ascii="仿宋" w:hAnsi="仿宋" w:eastAsia="仿宋" w:cs="仿宋"/>
                <w:b w:val="0"/>
                <w:bCs w:val="0"/>
                <w:sz w:val="32"/>
                <w:szCs w:val="32"/>
                <w:lang w:val="en-US" w:eastAsia="zh-CN"/>
              </w:rPr>
              <w:drawing>
                <wp:inline distT="0" distB="0" distL="114300" distR="114300">
                  <wp:extent cx="3033395" cy="1332230"/>
                  <wp:effectExtent l="0" t="0" r="14605" b="1270"/>
                  <wp:docPr id="39" name="图片 39" descr="5b56257dd3cfe0cbddfc2f4ac3b24aa"/>
                  <wp:cNvGraphicFramePr/>
                  <a:graphic xmlns:a="http://schemas.openxmlformats.org/drawingml/2006/main">
                    <a:graphicData uri="http://schemas.openxmlformats.org/drawingml/2006/picture">
                      <pic:pic xmlns:pic="http://schemas.openxmlformats.org/drawingml/2006/picture">
                        <pic:nvPicPr>
                          <pic:cNvPr id="39" name="图片 39" descr="5b56257dd3cfe0cbddfc2f4ac3b24aa"/>
                          <pic:cNvPicPr/>
                        </pic:nvPicPr>
                        <pic:blipFill>
                          <a:blip r:embed="rId45"/>
                          <a:stretch>
                            <a:fillRect/>
                          </a:stretch>
                        </pic:blipFill>
                        <pic:spPr>
                          <a:xfrm>
                            <a:off x="0" y="0"/>
                            <a:ext cx="3033395" cy="1332230"/>
                          </a:xfrm>
                          <a:prstGeom prst="rect">
                            <a:avLst/>
                          </a:prstGeom>
                        </pic:spPr>
                      </pic:pic>
                    </a:graphicData>
                  </a:graphic>
                </wp:inline>
              </w:drawing>
            </w:r>
          </w:p>
        </w:tc>
        <w:tc>
          <w:tcPr>
            <w:tcW w:w="4621" w:type="dxa"/>
          </w:tcPr>
          <w:p>
            <w:pPr>
              <w:jc w:val="center"/>
              <w:rPr>
                <w:rFonts w:hint="eastAsia"/>
                <w:vertAlign w:val="baseline"/>
                <w:lang w:val="en-US" w:eastAsia="zh-CN"/>
              </w:rPr>
            </w:pPr>
            <w:r>
              <w:rPr>
                <w:rFonts w:hint="default" w:ascii="仿宋" w:hAnsi="仿宋" w:eastAsia="仿宋" w:cs="仿宋"/>
                <w:sz w:val="32"/>
                <w:szCs w:val="32"/>
                <w:lang w:val="en-US" w:eastAsia="zh-CN"/>
              </w:rPr>
              <w:drawing>
                <wp:inline distT="0" distB="0" distL="114300" distR="114300">
                  <wp:extent cx="2494280" cy="1245235"/>
                  <wp:effectExtent l="0" t="0" r="1270" b="12065"/>
                  <wp:docPr id="40" name="图片 40" descr="e0c248889741adeec8fee1ac26da0c2"/>
                  <wp:cNvGraphicFramePr/>
                  <a:graphic xmlns:a="http://schemas.openxmlformats.org/drawingml/2006/main">
                    <a:graphicData uri="http://schemas.openxmlformats.org/drawingml/2006/picture">
                      <pic:pic xmlns:pic="http://schemas.openxmlformats.org/drawingml/2006/picture">
                        <pic:nvPicPr>
                          <pic:cNvPr id="40" name="图片 40" descr="e0c248889741adeec8fee1ac26da0c2"/>
                          <pic:cNvPicPr/>
                        </pic:nvPicPr>
                        <pic:blipFill>
                          <a:blip r:embed="rId46"/>
                          <a:stretch>
                            <a:fillRect/>
                          </a:stretch>
                        </pic:blipFill>
                        <pic:spPr>
                          <a:xfrm>
                            <a:off x="0" y="0"/>
                            <a:ext cx="2494280" cy="12452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vertAlign w:val="baseline"/>
                <w:lang w:val="en-US" w:eastAsia="zh-CN"/>
              </w:rPr>
            </w:pPr>
            <w:r>
              <w:rPr>
                <w:rFonts w:hint="eastAsia"/>
                <w:vertAlign w:val="baseline"/>
                <w:lang w:val="en-US" w:eastAsia="zh-CN"/>
              </w:rPr>
              <w:t>脉冲布袋除尘器</w:t>
            </w:r>
          </w:p>
        </w:tc>
        <w:tc>
          <w:tcPr>
            <w:tcW w:w="4621" w:type="dxa"/>
          </w:tcPr>
          <w:p>
            <w:pPr>
              <w:jc w:val="center"/>
              <w:rPr>
                <w:rFonts w:hint="default"/>
                <w:vertAlign w:val="baseline"/>
                <w:lang w:val="en-US" w:eastAsia="zh-CN"/>
              </w:rPr>
            </w:pPr>
            <w:r>
              <w:rPr>
                <w:rFonts w:hint="default"/>
                <w:vertAlign w:val="baseline"/>
                <w:lang w:val="en-US" w:eastAsia="zh-CN"/>
              </w:rPr>
              <w:t>拉锯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vertAlign w:val="baseline"/>
                <w:lang w:val="en-US" w:eastAsia="zh-CN"/>
              </w:rPr>
            </w:pPr>
            <w:r>
              <w:rPr>
                <w:rFonts w:hint="default" w:ascii="仿宋" w:hAnsi="仿宋" w:eastAsia="仿宋" w:cs="仿宋"/>
                <w:b w:val="0"/>
                <w:bCs w:val="0"/>
                <w:sz w:val="32"/>
                <w:szCs w:val="32"/>
                <w:lang w:val="en-US" w:eastAsia="zh-CN"/>
              </w:rPr>
              <w:drawing>
                <wp:inline distT="0" distB="0" distL="114300" distR="114300">
                  <wp:extent cx="3017520" cy="1617980"/>
                  <wp:effectExtent l="0" t="0" r="11430" b="1270"/>
                  <wp:docPr id="41" name="图片 41" descr="13d825a99b6ff8f77025d9d0e0ab47d"/>
                  <wp:cNvGraphicFramePr/>
                  <a:graphic xmlns:a="http://schemas.openxmlformats.org/drawingml/2006/main">
                    <a:graphicData uri="http://schemas.openxmlformats.org/drawingml/2006/picture">
                      <pic:pic xmlns:pic="http://schemas.openxmlformats.org/drawingml/2006/picture">
                        <pic:nvPicPr>
                          <pic:cNvPr id="41" name="图片 41" descr="13d825a99b6ff8f77025d9d0e0ab47d"/>
                          <pic:cNvPicPr/>
                        </pic:nvPicPr>
                        <pic:blipFill>
                          <a:blip r:embed="rId47"/>
                          <a:stretch>
                            <a:fillRect/>
                          </a:stretch>
                        </pic:blipFill>
                        <pic:spPr>
                          <a:xfrm>
                            <a:off x="0" y="0"/>
                            <a:ext cx="3017520" cy="1617980"/>
                          </a:xfrm>
                          <a:prstGeom prst="rect">
                            <a:avLst/>
                          </a:prstGeom>
                        </pic:spPr>
                      </pic:pic>
                    </a:graphicData>
                  </a:graphic>
                </wp:inline>
              </w:drawing>
            </w:r>
          </w:p>
        </w:tc>
        <w:tc>
          <w:tcPr>
            <w:tcW w:w="4621" w:type="dxa"/>
          </w:tcPr>
          <w:p>
            <w:pPr>
              <w:jc w:val="center"/>
              <w:rPr>
                <w:rFonts w:hint="default"/>
                <w:vertAlign w:val="baseline"/>
                <w:lang w:val="en-US" w:eastAsia="zh-CN"/>
              </w:rPr>
            </w:pPr>
            <w:r>
              <w:rPr>
                <w:rFonts w:hint="default" w:ascii="仿宋" w:hAnsi="仿宋" w:eastAsia="仿宋" w:cs="仿宋"/>
                <w:sz w:val="32"/>
                <w:szCs w:val="32"/>
                <w:lang w:val="en-US" w:eastAsia="zh-CN"/>
              </w:rPr>
              <w:drawing>
                <wp:inline distT="0" distB="0" distL="114300" distR="114300">
                  <wp:extent cx="2464435" cy="1645920"/>
                  <wp:effectExtent l="0" t="0" r="12065" b="11430"/>
                  <wp:docPr id="42" name="图片 42" descr="3b69d31782ebfa40d68eead60ebbdac"/>
                  <wp:cNvGraphicFramePr/>
                  <a:graphic xmlns:a="http://schemas.openxmlformats.org/drawingml/2006/main">
                    <a:graphicData uri="http://schemas.openxmlformats.org/drawingml/2006/picture">
                      <pic:pic xmlns:pic="http://schemas.openxmlformats.org/drawingml/2006/picture">
                        <pic:nvPicPr>
                          <pic:cNvPr id="42" name="图片 42" descr="3b69d31782ebfa40d68eead60ebbdac"/>
                          <pic:cNvPicPr/>
                        </pic:nvPicPr>
                        <pic:blipFill>
                          <a:blip r:embed="rId48"/>
                          <a:stretch>
                            <a:fillRect/>
                          </a:stretch>
                        </pic:blipFill>
                        <pic:spPr>
                          <a:xfrm>
                            <a:off x="0" y="0"/>
                            <a:ext cx="2464435" cy="16459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vertAlign w:val="baseline"/>
                <w:lang w:val="en-US" w:eastAsia="zh-CN"/>
              </w:rPr>
            </w:pPr>
            <w:r>
              <w:rPr>
                <w:rFonts w:hint="eastAsia"/>
                <w:vertAlign w:val="baseline"/>
                <w:lang w:val="en-US" w:eastAsia="zh-CN"/>
              </w:rPr>
              <w:t>推台锯</w:t>
            </w:r>
          </w:p>
        </w:tc>
        <w:tc>
          <w:tcPr>
            <w:tcW w:w="4621" w:type="dxa"/>
          </w:tcPr>
          <w:p>
            <w:pPr>
              <w:jc w:val="center"/>
              <w:rPr>
                <w:rFonts w:hint="default"/>
                <w:vertAlign w:val="baseline"/>
                <w:lang w:val="en-US" w:eastAsia="zh-CN"/>
              </w:rPr>
            </w:pPr>
            <w:r>
              <w:rPr>
                <w:rFonts w:hint="default"/>
                <w:vertAlign w:val="baseline"/>
                <w:lang w:val="en-US" w:eastAsia="zh-CN"/>
              </w:rPr>
              <w:t>单面木工压刨床</w:t>
            </w:r>
          </w:p>
        </w:tc>
      </w:tr>
    </w:tbl>
    <w:p>
      <w:pPr>
        <w:jc w:val="center"/>
        <w:rPr>
          <w:rFonts w:hint="eastAsia"/>
          <w:lang w:val="en-US" w:eastAsia="zh-CN"/>
        </w:rPr>
        <w:sectPr>
          <w:pgSz w:w="11906" w:h="16838"/>
          <w:pgMar w:top="1080" w:right="1440" w:bottom="1080" w:left="1440" w:header="851" w:footer="992" w:gutter="0"/>
          <w:cols w:space="425" w:num="1"/>
          <w:docGrid w:type="lines" w:linePitch="312" w:charSpace="0"/>
        </w:sectPr>
      </w:pPr>
      <w:r>
        <w:rPr>
          <w:rFonts w:hint="eastAsia"/>
          <w:lang w:val="en-US" w:eastAsia="zh-CN"/>
        </w:rPr>
        <w:t>附图4  项目建设情况图</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2"/>
        <w:gridCol w:w="4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eastAsiaTheme="minorEastAsia"/>
                <w:highlight w:val="none"/>
                <w:vertAlign w:val="baseline"/>
                <w:lang w:val="en-US" w:eastAsia="zh-CN"/>
              </w:rPr>
            </w:pPr>
            <w:r>
              <w:rPr>
                <w:rFonts w:hint="default" w:ascii="仿宋" w:hAnsi="仿宋" w:eastAsia="仿宋" w:cs="仿宋"/>
                <w:sz w:val="32"/>
                <w:szCs w:val="32"/>
                <w:highlight w:val="none"/>
                <w:lang w:val="en-US" w:eastAsia="zh-CN"/>
              </w:rPr>
              <w:drawing>
                <wp:inline distT="0" distB="0" distL="114300" distR="114300">
                  <wp:extent cx="2482850" cy="1482090"/>
                  <wp:effectExtent l="0" t="0" r="12700" b="3810"/>
                  <wp:docPr id="43" name="图片 43" descr="c9e3b53006196af0128b648de0119a0"/>
                  <wp:cNvGraphicFramePr/>
                  <a:graphic xmlns:a="http://schemas.openxmlformats.org/drawingml/2006/main">
                    <a:graphicData uri="http://schemas.openxmlformats.org/drawingml/2006/picture">
                      <pic:pic xmlns:pic="http://schemas.openxmlformats.org/drawingml/2006/picture">
                        <pic:nvPicPr>
                          <pic:cNvPr id="43" name="图片 43" descr="c9e3b53006196af0128b648de0119a0"/>
                          <pic:cNvPicPr/>
                        </pic:nvPicPr>
                        <pic:blipFill>
                          <a:blip r:embed="rId49"/>
                          <a:stretch>
                            <a:fillRect/>
                          </a:stretch>
                        </pic:blipFill>
                        <pic:spPr>
                          <a:xfrm>
                            <a:off x="0" y="0"/>
                            <a:ext cx="2482850" cy="1482090"/>
                          </a:xfrm>
                          <a:prstGeom prst="rect">
                            <a:avLst/>
                          </a:prstGeom>
                        </pic:spPr>
                      </pic:pic>
                    </a:graphicData>
                  </a:graphic>
                </wp:inline>
              </w:drawing>
            </w:r>
          </w:p>
        </w:tc>
        <w:tc>
          <w:tcPr>
            <w:tcW w:w="4621" w:type="dxa"/>
          </w:tcPr>
          <w:p>
            <w:pPr>
              <w:jc w:val="center"/>
              <w:rPr>
                <w:rFonts w:hint="eastAsia" w:eastAsiaTheme="minorEastAsia"/>
                <w:highlight w:val="none"/>
                <w:vertAlign w:val="baseline"/>
                <w:lang w:val="en-US" w:eastAsia="zh-CN"/>
              </w:rPr>
            </w:pPr>
            <w:r>
              <w:rPr>
                <w:rFonts w:hint="default" w:ascii="仿宋" w:hAnsi="仿宋" w:eastAsia="仿宋" w:cs="仿宋"/>
                <w:sz w:val="32"/>
                <w:szCs w:val="32"/>
                <w:highlight w:val="none"/>
                <w:lang w:val="en-US" w:eastAsia="zh-CN"/>
              </w:rPr>
              <w:drawing>
                <wp:inline distT="0" distB="0" distL="114300" distR="114300">
                  <wp:extent cx="2693035" cy="1531620"/>
                  <wp:effectExtent l="0" t="0" r="12065" b="11430"/>
                  <wp:docPr id="44" name="图片 44" descr="452a4e236151c6b7ec51853972950ba"/>
                  <wp:cNvGraphicFramePr/>
                  <a:graphic xmlns:a="http://schemas.openxmlformats.org/drawingml/2006/main">
                    <a:graphicData uri="http://schemas.openxmlformats.org/drawingml/2006/picture">
                      <pic:pic xmlns:pic="http://schemas.openxmlformats.org/drawingml/2006/picture">
                        <pic:nvPicPr>
                          <pic:cNvPr id="44" name="图片 44" descr="452a4e236151c6b7ec51853972950ba"/>
                          <pic:cNvPicPr/>
                        </pic:nvPicPr>
                        <pic:blipFill>
                          <a:blip r:embed="rId50"/>
                          <a:stretch>
                            <a:fillRect/>
                          </a:stretch>
                        </pic:blipFill>
                        <pic:spPr>
                          <a:xfrm>
                            <a:off x="0" y="0"/>
                            <a:ext cx="2693035" cy="1531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eastAsiaTheme="minorEastAsia"/>
                <w:highlight w:val="none"/>
                <w:vertAlign w:val="baseline"/>
                <w:lang w:val="en-US" w:eastAsia="zh-CN"/>
              </w:rPr>
            </w:pPr>
            <w:r>
              <w:rPr>
                <w:rFonts w:hint="eastAsia" w:eastAsiaTheme="minorEastAsia"/>
                <w:highlight w:val="none"/>
                <w:vertAlign w:val="baseline"/>
                <w:lang w:val="en-US" w:eastAsia="zh-CN"/>
              </w:rPr>
              <w:t>木工新型气动镂铣机</w:t>
            </w:r>
          </w:p>
        </w:tc>
        <w:tc>
          <w:tcPr>
            <w:tcW w:w="4621" w:type="dxa"/>
          </w:tcPr>
          <w:p>
            <w:pPr>
              <w:jc w:val="center"/>
              <w:rPr>
                <w:rFonts w:hint="eastAsia" w:eastAsiaTheme="minorEastAsia"/>
                <w:highlight w:val="none"/>
                <w:vertAlign w:val="baseline"/>
                <w:lang w:val="en-US" w:eastAsia="zh-CN"/>
              </w:rPr>
            </w:pPr>
            <w:r>
              <w:rPr>
                <w:rFonts w:hint="eastAsia" w:eastAsiaTheme="minorEastAsia"/>
                <w:highlight w:val="none"/>
                <w:vertAlign w:val="baseline"/>
                <w:lang w:val="en-US" w:eastAsia="zh-CN"/>
              </w:rPr>
              <w:t>自动多片纵锯机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eastAsiaTheme="minorEastAsia"/>
                <w:highlight w:val="none"/>
                <w:vertAlign w:val="baseline"/>
                <w:lang w:val="en-US" w:eastAsia="zh-CN"/>
              </w:rPr>
            </w:pPr>
            <w:r>
              <w:rPr>
                <w:rFonts w:hint="default" w:ascii="仿宋" w:hAnsi="仿宋" w:eastAsia="仿宋" w:cs="仿宋"/>
                <w:sz w:val="32"/>
                <w:szCs w:val="32"/>
                <w:highlight w:val="none"/>
                <w:lang w:val="en-US" w:eastAsia="zh-CN"/>
              </w:rPr>
              <w:drawing>
                <wp:inline distT="0" distB="0" distL="114300" distR="114300">
                  <wp:extent cx="2446020" cy="1159510"/>
                  <wp:effectExtent l="0" t="0" r="11430" b="2540"/>
                  <wp:docPr id="45" name="图片 45" descr="c8df28f43088bdf483ea2dbc3dbb324"/>
                  <wp:cNvGraphicFramePr/>
                  <a:graphic xmlns:a="http://schemas.openxmlformats.org/drawingml/2006/main">
                    <a:graphicData uri="http://schemas.openxmlformats.org/drawingml/2006/picture">
                      <pic:pic xmlns:pic="http://schemas.openxmlformats.org/drawingml/2006/picture">
                        <pic:nvPicPr>
                          <pic:cNvPr id="45" name="图片 45" descr="c8df28f43088bdf483ea2dbc3dbb324"/>
                          <pic:cNvPicPr/>
                        </pic:nvPicPr>
                        <pic:blipFill>
                          <a:blip r:embed="rId51"/>
                          <a:stretch>
                            <a:fillRect/>
                          </a:stretch>
                        </pic:blipFill>
                        <pic:spPr>
                          <a:xfrm>
                            <a:off x="0" y="0"/>
                            <a:ext cx="2446020" cy="1159510"/>
                          </a:xfrm>
                          <a:prstGeom prst="rect">
                            <a:avLst/>
                          </a:prstGeom>
                        </pic:spPr>
                      </pic:pic>
                    </a:graphicData>
                  </a:graphic>
                </wp:inline>
              </w:drawing>
            </w:r>
          </w:p>
        </w:tc>
        <w:tc>
          <w:tcPr>
            <w:tcW w:w="4621" w:type="dxa"/>
          </w:tcPr>
          <w:p>
            <w:pPr>
              <w:jc w:val="center"/>
              <w:rPr>
                <w:rFonts w:hint="eastAsia" w:eastAsiaTheme="minorEastAsia"/>
                <w:highlight w:val="none"/>
                <w:vertAlign w:val="baseline"/>
                <w:lang w:val="en-US" w:eastAsia="zh-CN"/>
              </w:rPr>
            </w:pPr>
            <w:r>
              <w:rPr>
                <w:rFonts w:hint="default" w:ascii="仿宋" w:hAnsi="仿宋" w:eastAsia="仿宋" w:cs="仿宋"/>
                <w:sz w:val="32"/>
                <w:szCs w:val="32"/>
                <w:highlight w:val="none"/>
                <w:lang w:val="en-US" w:eastAsia="zh-CN"/>
              </w:rPr>
              <w:drawing>
                <wp:inline distT="0" distB="0" distL="114300" distR="114300">
                  <wp:extent cx="2827655" cy="1093470"/>
                  <wp:effectExtent l="0" t="0" r="10795" b="11430"/>
                  <wp:docPr id="46" name="图片 46" descr="0db51f93fd453cbe39daf02dd99cb58"/>
                  <wp:cNvGraphicFramePr/>
                  <a:graphic xmlns:a="http://schemas.openxmlformats.org/drawingml/2006/main">
                    <a:graphicData uri="http://schemas.openxmlformats.org/drawingml/2006/picture">
                      <pic:pic xmlns:pic="http://schemas.openxmlformats.org/drawingml/2006/picture">
                        <pic:nvPicPr>
                          <pic:cNvPr id="46" name="图片 46" descr="0db51f93fd453cbe39daf02dd99cb58"/>
                          <pic:cNvPicPr/>
                        </pic:nvPicPr>
                        <pic:blipFill>
                          <a:blip r:embed="rId52"/>
                          <a:stretch>
                            <a:fillRect/>
                          </a:stretch>
                        </pic:blipFill>
                        <pic:spPr>
                          <a:xfrm>
                            <a:off x="0" y="0"/>
                            <a:ext cx="2827655" cy="10934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default" w:eastAsiaTheme="minorEastAsia"/>
                <w:highlight w:val="none"/>
                <w:vertAlign w:val="baseline"/>
                <w:lang w:val="en-US" w:eastAsia="zh-CN"/>
              </w:rPr>
            </w:pPr>
            <w:r>
              <w:rPr>
                <w:rFonts w:hint="default" w:eastAsiaTheme="minorEastAsia"/>
                <w:highlight w:val="none"/>
                <w:vertAlign w:val="baseline"/>
                <w:lang w:val="en-US" w:eastAsia="zh-CN"/>
              </w:rPr>
              <w:t>多轴钻</w:t>
            </w:r>
          </w:p>
        </w:tc>
        <w:tc>
          <w:tcPr>
            <w:tcW w:w="4621" w:type="dxa"/>
          </w:tcPr>
          <w:p>
            <w:pPr>
              <w:jc w:val="center"/>
              <w:rPr>
                <w:rFonts w:hint="default" w:eastAsiaTheme="minorEastAsia"/>
                <w:highlight w:val="none"/>
                <w:vertAlign w:val="baseline"/>
                <w:lang w:val="en-US" w:eastAsia="zh-CN"/>
              </w:rPr>
            </w:pPr>
            <w:r>
              <w:rPr>
                <w:rFonts w:hint="default" w:eastAsiaTheme="minorEastAsia"/>
                <w:highlight w:val="none"/>
                <w:vertAlign w:val="baseline"/>
                <w:lang w:val="en-US" w:eastAsia="zh-CN"/>
              </w:rPr>
              <w:t>平刨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highlight w:val="none"/>
                <w:vertAlign w:val="baseline"/>
                <w:lang w:val="en-US" w:eastAsia="zh-CN"/>
              </w:rPr>
            </w:pPr>
            <w:r>
              <w:rPr>
                <w:rFonts w:hint="default" w:ascii="仿宋" w:hAnsi="仿宋" w:eastAsia="仿宋" w:cs="仿宋"/>
                <w:sz w:val="32"/>
                <w:szCs w:val="32"/>
                <w:highlight w:val="none"/>
                <w:lang w:val="en-US" w:eastAsia="zh-CN"/>
              </w:rPr>
              <w:drawing>
                <wp:inline distT="0" distB="0" distL="114300" distR="114300">
                  <wp:extent cx="3026410" cy="1475105"/>
                  <wp:effectExtent l="0" t="0" r="2540" b="10795"/>
                  <wp:docPr id="47" name="图片 47" descr="26c3260de45f64f44282b460251a312"/>
                  <wp:cNvGraphicFramePr/>
                  <a:graphic xmlns:a="http://schemas.openxmlformats.org/drawingml/2006/main">
                    <a:graphicData uri="http://schemas.openxmlformats.org/drawingml/2006/picture">
                      <pic:pic xmlns:pic="http://schemas.openxmlformats.org/drawingml/2006/picture">
                        <pic:nvPicPr>
                          <pic:cNvPr id="47" name="图片 47" descr="26c3260de45f64f44282b460251a312"/>
                          <pic:cNvPicPr/>
                        </pic:nvPicPr>
                        <pic:blipFill>
                          <a:blip r:embed="rId53"/>
                          <a:stretch>
                            <a:fillRect/>
                          </a:stretch>
                        </pic:blipFill>
                        <pic:spPr>
                          <a:xfrm>
                            <a:off x="0" y="0"/>
                            <a:ext cx="3026410" cy="1475105"/>
                          </a:xfrm>
                          <a:prstGeom prst="rect">
                            <a:avLst/>
                          </a:prstGeom>
                        </pic:spPr>
                      </pic:pic>
                    </a:graphicData>
                  </a:graphic>
                </wp:inline>
              </w:drawing>
            </w:r>
          </w:p>
        </w:tc>
        <w:tc>
          <w:tcPr>
            <w:tcW w:w="4621" w:type="dxa"/>
          </w:tcPr>
          <w:p>
            <w:pPr>
              <w:jc w:val="center"/>
              <w:rPr>
                <w:rFonts w:hint="eastAsia"/>
                <w:highlight w:val="none"/>
                <w:vertAlign w:val="baseline"/>
                <w:lang w:val="en-US" w:eastAsia="zh-CN"/>
              </w:rPr>
            </w:pPr>
            <w:r>
              <w:rPr>
                <w:rFonts w:hint="default" w:ascii="仿宋" w:hAnsi="仿宋" w:eastAsia="仿宋" w:cs="仿宋"/>
                <w:sz w:val="32"/>
                <w:szCs w:val="32"/>
                <w:highlight w:val="none"/>
                <w:lang w:val="en-US" w:eastAsia="zh-CN"/>
              </w:rPr>
              <w:drawing>
                <wp:inline distT="0" distB="0" distL="114300" distR="114300">
                  <wp:extent cx="2665095" cy="1560830"/>
                  <wp:effectExtent l="0" t="0" r="1905" b="1270"/>
                  <wp:docPr id="48" name="图片 48" descr="3189274dd0fc3bd324aa688e77722d0"/>
                  <wp:cNvGraphicFramePr/>
                  <a:graphic xmlns:a="http://schemas.openxmlformats.org/drawingml/2006/main">
                    <a:graphicData uri="http://schemas.openxmlformats.org/drawingml/2006/picture">
                      <pic:pic xmlns:pic="http://schemas.openxmlformats.org/drawingml/2006/picture">
                        <pic:nvPicPr>
                          <pic:cNvPr id="48" name="图片 48" descr="3189274dd0fc3bd324aa688e77722d0"/>
                          <pic:cNvPicPr/>
                        </pic:nvPicPr>
                        <pic:blipFill>
                          <a:blip r:embed="rId54"/>
                          <a:stretch>
                            <a:fillRect/>
                          </a:stretch>
                        </pic:blipFill>
                        <pic:spPr>
                          <a:xfrm>
                            <a:off x="0" y="0"/>
                            <a:ext cx="2665095" cy="1560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default"/>
                <w:highlight w:val="none"/>
                <w:vertAlign w:val="baseline"/>
                <w:lang w:val="en-US" w:eastAsia="zh-CN"/>
              </w:rPr>
            </w:pPr>
            <w:r>
              <w:rPr>
                <w:rFonts w:hint="default"/>
                <w:highlight w:val="none"/>
                <w:vertAlign w:val="baseline"/>
                <w:lang w:val="en-US" w:eastAsia="zh-CN"/>
              </w:rPr>
              <w:t>全变角弯线机</w:t>
            </w:r>
          </w:p>
        </w:tc>
        <w:tc>
          <w:tcPr>
            <w:tcW w:w="4621" w:type="dxa"/>
          </w:tcPr>
          <w:p>
            <w:pPr>
              <w:jc w:val="center"/>
              <w:rPr>
                <w:rFonts w:hint="default"/>
                <w:highlight w:val="none"/>
                <w:vertAlign w:val="baseline"/>
                <w:lang w:val="en-US" w:eastAsia="zh-CN"/>
              </w:rPr>
            </w:pPr>
            <w:r>
              <w:rPr>
                <w:rFonts w:hint="default"/>
                <w:highlight w:val="none"/>
                <w:vertAlign w:val="baseline"/>
                <w:lang w:val="en-US" w:eastAsia="zh-CN"/>
              </w:rPr>
              <w:t>轮锯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highlight w:val="none"/>
                <w:vertAlign w:val="baseline"/>
                <w:lang w:val="en-US" w:eastAsia="zh-CN"/>
              </w:rPr>
            </w:pPr>
            <w:r>
              <w:rPr>
                <w:rFonts w:hint="default" w:ascii="仿宋" w:hAnsi="仿宋" w:eastAsia="仿宋" w:cs="仿宋"/>
                <w:sz w:val="32"/>
                <w:szCs w:val="32"/>
                <w:highlight w:val="none"/>
                <w:lang w:val="en-US" w:eastAsia="zh-CN"/>
              </w:rPr>
              <w:drawing>
                <wp:inline distT="0" distB="0" distL="114300" distR="114300">
                  <wp:extent cx="2665730" cy="1714500"/>
                  <wp:effectExtent l="0" t="0" r="1270" b="0"/>
                  <wp:docPr id="49" name="图片 49" descr="8e4b8e4812ad75f38df9f88dcecd708"/>
                  <wp:cNvGraphicFramePr/>
                  <a:graphic xmlns:a="http://schemas.openxmlformats.org/drawingml/2006/main">
                    <a:graphicData uri="http://schemas.openxmlformats.org/drawingml/2006/picture">
                      <pic:pic xmlns:pic="http://schemas.openxmlformats.org/drawingml/2006/picture">
                        <pic:nvPicPr>
                          <pic:cNvPr id="49" name="图片 49" descr="8e4b8e4812ad75f38df9f88dcecd708"/>
                          <pic:cNvPicPr/>
                        </pic:nvPicPr>
                        <pic:blipFill>
                          <a:blip r:embed="rId55"/>
                          <a:stretch>
                            <a:fillRect/>
                          </a:stretch>
                        </pic:blipFill>
                        <pic:spPr>
                          <a:xfrm>
                            <a:off x="0" y="0"/>
                            <a:ext cx="2665730" cy="1714500"/>
                          </a:xfrm>
                          <a:prstGeom prst="rect">
                            <a:avLst/>
                          </a:prstGeom>
                        </pic:spPr>
                      </pic:pic>
                    </a:graphicData>
                  </a:graphic>
                </wp:inline>
              </w:drawing>
            </w:r>
          </w:p>
        </w:tc>
        <w:tc>
          <w:tcPr>
            <w:tcW w:w="4621" w:type="dxa"/>
          </w:tcPr>
          <w:p>
            <w:pPr>
              <w:jc w:val="center"/>
              <w:rPr>
                <w:rFonts w:hint="eastAsia"/>
                <w:highlight w:val="none"/>
                <w:vertAlign w:val="baseline"/>
                <w:lang w:val="en-US" w:eastAsia="zh-CN"/>
              </w:rPr>
            </w:pPr>
            <w:r>
              <w:rPr>
                <w:rFonts w:hint="default" w:ascii="仿宋" w:hAnsi="仿宋" w:eastAsia="仿宋" w:cs="仿宋"/>
                <w:sz w:val="32"/>
                <w:szCs w:val="32"/>
                <w:highlight w:val="none"/>
                <w:lang w:val="en-US" w:eastAsia="zh-CN"/>
              </w:rPr>
              <w:drawing>
                <wp:inline distT="0" distB="0" distL="114300" distR="114300">
                  <wp:extent cx="2588895" cy="1712595"/>
                  <wp:effectExtent l="0" t="0" r="1905" b="1905"/>
                  <wp:docPr id="50" name="图片 50" descr="8dd60849ac21c325211151e542eec71"/>
                  <wp:cNvGraphicFramePr/>
                  <a:graphic xmlns:a="http://schemas.openxmlformats.org/drawingml/2006/main">
                    <a:graphicData uri="http://schemas.openxmlformats.org/drawingml/2006/picture">
                      <pic:pic xmlns:pic="http://schemas.openxmlformats.org/drawingml/2006/picture">
                        <pic:nvPicPr>
                          <pic:cNvPr id="50" name="图片 50" descr="8dd60849ac21c325211151e542eec71"/>
                          <pic:cNvPicPr/>
                        </pic:nvPicPr>
                        <pic:blipFill>
                          <a:blip r:embed="rId56"/>
                          <a:stretch>
                            <a:fillRect/>
                          </a:stretch>
                        </pic:blipFill>
                        <pic:spPr>
                          <a:xfrm>
                            <a:off x="0" y="0"/>
                            <a:ext cx="2588895" cy="17125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jc w:val="center"/>
              <w:rPr>
                <w:rFonts w:hint="eastAsia"/>
                <w:highlight w:val="none"/>
                <w:vertAlign w:val="baseline"/>
                <w:lang w:val="en-US" w:eastAsia="zh-CN"/>
              </w:rPr>
            </w:pPr>
            <w:r>
              <w:rPr>
                <w:rFonts w:hint="eastAsia"/>
                <w:highlight w:val="none"/>
                <w:vertAlign w:val="baseline"/>
                <w:lang w:val="en-US" w:eastAsia="zh-CN"/>
              </w:rPr>
              <w:t>立轴刨</w:t>
            </w:r>
          </w:p>
        </w:tc>
        <w:tc>
          <w:tcPr>
            <w:tcW w:w="4621" w:type="dxa"/>
          </w:tcPr>
          <w:p>
            <w:pPr>
              <w:jc w:val="center"/>
              <w:rPr>
                <w:rFonts w:hint="default"/>
                <w:highlight w:val="none"/>
                <w:vertAlign w:val="baseline"/>
                <w:lang w:val="en-US" w:eastAsia="zh-CN"/>
              </w:rPr>
            </w:pPr>
            <w:r>
              <w:rPr>
                <w:rFonts w:hint="default"/>
                <w:highlight w:val="none"/>
                <w:vertAlign w:val="baseline"/>
                <w:lang w:val="en-US" w:eastAsia="zh-CN"/>
              </w:rPr>
              <w:t>木工带锯机</w:t>
            </w:r>
          </w:p>
        </w:tc>
      </w:tr>
    </w:tbl>
    <w:p>
      <w:pPr>
        <w:jc w:val="center"/>
        <w:rPr>
          <w:rFonts w:hint="default"/>
          <w:lang w:val="en-US" w:eastAsia="zh-CN"/>
        </w:rPr>
      </w:pPr>
      <w:r>
        <w:rPr>
          <w:rFonts w:hint="eastAsia"/>
          <w:lang w:val="en-US" w:eastAsia="zh-CN"/>
        </w:rPr>
        <w:t>附图4  项目建设情况图</w:t>
      </w:r>
    </w:p>
    <w:p>
      <w:pPr>
        <w:pStyle w:val="10"/>
        <w:rPr>
          <w:rFonts w:hint="default"/>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TimesNewRoman">
    <w:altName w:val="Times New Roman"/>
    <w:panose1 w:val="00000000000000000000"/>
    <w:charset w:val="00"/>
    <w:family w:val="roman"/>
    <w:pitch w:val="default"/>
    <w:sig w:usb0="00000000" w:usb1="00000000" w:usb2="00000000" w:usb3="00000000" w:csb0="00000001"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ascii="Times New Roman" w:hAnsi="Times New Roman" w:eastAsia="微软雅黑"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rPr>
                        <w:rFonts w:hint="default" w:ascii="Times New Roman" w:hAnsi="Times New Roman" w:eastAsia="微软雅黑"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ascii="Times New Roman" w:hAnsi="Times New Roman" w:eastAsia="微软雅黑"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24</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default" w:ascii="Times New Roman" w:hAnsi="Times New Roman" w:eastAsia="微软雅黑"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24</w:t>
                    </w:r>
                    <w:r>
                      <w:rPr>
                        <w:rFonts w:hint="default" w:ascii="Times New Roman" w:hAnsi="Times New Roman" w:cs="Times New Roman"/>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ordWrap w:val="0"/>
      <w:jc w:val="both"/>
      <w:rPr>
        <w:rFonts w:hint="eastAsia"/>
      </w:rPr>
    </w:pPr>
    <w:r>
      <w:rPr>
        <w:rStyle w:val="27"/>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imes New Roman" w:hAnsi="Times New Roman" w:eastAsia="华文新魏" w:cs="Times New Roman"/>
      </w:rPr>
    </w:pPr>
    <w:r>
      <w:rPr>
        <w:rFonts w:ascii="Times New Roman" w:hAnsi="Times New Roman" w:eastAsia="华文新魏" w:cs="Times New Roman"/>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hint="eastAsia"/>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1ZmNlNDJmNTEyNzdjNWU3YzJmYWM5YjYzYTNiNjMifQ=="/>
  </w:docVars>
  <w:rsids>
    <w:rsidRoot w:val="57DA7C79"/>
    <w:rsid w:val="001A2440"/>
    <w:rsid w:val="00545347"/>
    <w:rsid w:val="005777DA"/>
    <w:rsid w:val="00A2229E"/>
    <w:rsid w:val="00A250DA"/>
    <w:rsid w:val="00AB1812"/>
    <w:rsid w:val="00B3037D"/>
    <w:rsid w:val="00C823C4"/>
    <w:rsid w:val="00C91C98"/>
    <w:rsid w:val="00E04B2E"/>
    <w:rsid w:val="01395070"/>
    <w:rsid w:val="01693504"/>
    <w:rsid w:val="02F07822"/>
    <w:rsid w:val="0308202F"/>
    <w:rsid w:val="031B2C7F"/>
    <w:rsid w:val="03CB0ADC"/>
    <w:rsid w:val="03D90444"/>
    <w:rsid w:val="040F4C67"/>
    <w:rsid w:val="043C5B01"/>
    <w:rsid w:val="0449381C"/>
    <w:rsid w:val="0480402F"/>
    <w:rsid w:val="05191440"/>
    <w:rsid w:val="052677FF"/>
    <w:rsid w:val="057631DB"/>
    <w:rsid w:val="062C51A3"/>
    <w:rsid w:val="07DC5A24"/>
    <w:rsid w:val="08C764AA"/>
    <w:rsid w:val="09641BD6"/>
    <w:rsid w:val="09B5539D"/>
    <w:rsid w:val="09C23B3E"/>
    <w:rsid w:val="09D73678"/>
    <w:rsid w:val="0A4C7BC2"/>
    <w:rsid w:val="0A84759E"/>
    <w:rsid w:val="0B073AE9"/>
    <w:rsid w:val="0B0C07AB"/>
    <w:rsid w:val="0B7633D8"/>
    <w:rsid w:val="0C590374"/>
    <w:rsid w:val="0C9272B1"/>
    <w:rsid w:val="0CD520F0"/>
    <w:rsid w:val="0D5C23F6"/>
    <w:rsid w:val="0E042561"/>
    <w:rsid w:val="0ECF4561"/>
    <w:rsid w:val="0EF46080"/>
    <w:rsid w:val="0EF9320D"/>
    <w:rsid w:val="0F3B6457"/>
    <w:rsid w:val="0F5E7D1A"/>
    <w:rsid w:val="0F8E5265"/>
    <w:rsid w:val="0FA22032"/>
    <w:rsid w:val="10B93AD7"/>
    <w:rsid w:val="10C22EC9"/>
    <w:rsid w:val="10D95F27"/>
    <w:rsid w:val="124F0499"/>
    <w:rsid w:val="12DD1838"/>
    <w:rsid w:val="12E97EE2"/>
    <w:rsid w:val="13223BB5"/>
    <w:rsid w:val="1345155B"/>
    <w:rsid w:val="1347361C"/>
    <w:rsid w:val="135D51A2"/>
    <w:rsid w:val="13B22A02"/>
    <w:rsid w:val="13CB5FFB"/>
    <w:rsid w:val="146150F9"/>
    <w:rsid w:val="14EB22C3"/>
    <w:rsid w:val="150A0DD4"/>
    <w:rsid w:val="15525052"/>
    <w:rsid w:val="15601AF4"/>
    <w:rsid w:val="163745BE"/>
    <w:rsid w:val="165403D5"/>
    <w:rsid w:val="16721F64"/>
    <w:rsid w:val="17017F86"/>
    <w:rsid w:val="174954AB"/>
    <w:rsid w:val="17B078E5"/>
    <w:rsid w:val="17F444E0"/>
    <w:rsid w:val="17F84D08"/>
    <w:rsid w:val="19A03DA3"/>
    <w:rsid w:val="19B8066D"/>
    <w:rsid w:val="19BC3E26"/>
    <w:rsid w:val="1A4B1CBC"/>
    <w:rsid w:val="1A58610F"/>
    <w:rsid w:val="1B453438"/>
    <w:rsid w:val="1B4675DD"/>
    <w:rsid w:val="1B4F3ED0"/>
    <w:rsid w:val="1BB51C31"/>
    <w:rsid w:val="1BC2169D"/>
    <w:rsid w:val="1C9C6963"/>
    <w:rsid w:val="1D8B67FB"/>
    <w:rsid w:val="1D9A0934"/>
    <w:rsid w:val="1EA47B74"/>
    <w:rsid w:val="1F0F362E"/>
    <w:rsid w:val="1F1211FC"/>
    <w:rsid w:val="1FE427E0"/>
    <w:rsid w:val="20157774"/>
    <w:rsid w:val="204F1D62"/>
    <w:rsid w:val="20860114"/>
    <w:rsid w:val="212471FF"/>
    <w:rsid w:val="21357A2B"/>
    <w:rsid w:val="21B96400"/>
    <w:rsid w:val="21D7200F"/>
    <w:rsid w:val="22B83C0A"/>
    <w:rsid w:val="22E23EF2"/>
    <w:rsid w:val="22F825D0"/>
    <w:rsid w:val="231329E9"/>
    <w:rsid w:val="23151041"/>
    <w:rsid w:val="23F0560A"/>
    <w:rsid w:val="24A96035"/>
    <w:rsid w:val="24B50815"/>
    <w:rsid w:val="256D3359"/>
    <w:rsid w:val="25A14E0E"/>
    <w:rsid w:val="264C0C35"/>
    <w:rsid w:val="26847651"/>
    <w:rsid w:val="26861A44"/>
    <w:rsid w:val="268701C6"/>
    <w:rsid w:val="26A32A75"/>
    <w:rsid w:val="27590D32"/>
    <w:rsid w:val="2774470A"/>
    <w:rsid w:val="27CD3562"/>
    <w:rsid w:val="281152B5"/>
    <w:rsid w:val="289E5440"/>
    <w:rsid w:val="28CA467C"/>
    <w:rsid w:val="2967011C"/>
    <w:rsid w:val="2A675E0D"/>
    <w:rsid w:val="2B794137"/>
    <w:rsid w:val="2BEB6DE3"/>
    <w:rsid w:val="2CA860BF"/>
    <w:rsid w:val="2CB90C8F"/>
    <w:rsid w:val="2D142369"/>
    <w:rsid w:val="2D597D7C"/>
    <w:rsid w:val="2D842EA9"/>
    <w:rsid w:val="2DDB0250"/>
    <w:rsid w:val="2E387557"/>
    <w:rsid w:val="2EA70C77"/>
    <w:rsid w:val="2EFE7864"/>
    <w:rsid w:val="2F4615F4"/>
    <w:rsid w:val="2FAF0BC3"/>
    <w:rsid w:val="2FD91648"/>
    <w:rsid w:val="301D4CA6"/>
    <w:rsid w:val="3075376E"/>
    <w:rsid w:val="30E6401D"/>
    <w:rsid w:val="313F372D"/>
    <w:rsid w:val="31472142"/>
    <w:rsid w:val="319D57DE"/>
    <w:rsid w:val="32554568"/>
    <w:rsid w:val="33223843"/>
    <w:rsid w:val="33ED334B"/>
    <w:rsid w:val="343B467F"/>
    <w:rsid w:val="348C4857"/>
    <w:rsid w:val="35BA6E2E"/>
    <w:rsid w:val="35C2080C"/>
    <w:rsid w:val="360636A0"/>
    <w:rsid w:val="364D069A"/>
    <w:rsid w:val="367A6CEB"/>
    <w:rsid w:val="36C7044C"/>
    <w:rsid w:val="36E0506A"/>
    <w:rsid w:val="36F77E90"/>
    <w:rsid w:val="37E778B9"/>
    <w:rsid w:val="381716C7"/>
    <w:rsid w:val="38404012"/>
    <w:rsid w:val="38AA1DD4"/>
    <w:rsid w:val="39E03E6B"/>
    <w:rsid w:val="3AD03626"/>
    <w:rsid w:val="3B9A70F7"/>
    <w:rsid w:val="3BC77998"/>
    <w:rsid w:val="3C4F0328"/>
    <w:rsid w:val="3D100241"/>
    <w:rsid w:val="3D3D3216"/>
    <w:rsid w:val="3D5E69BD"/>
    <w:rsid w:val="3D6A0E01"/>
    <w:rsid w:val="3E2F0051"/>
    <w:rsid w:val="3E6A0943"/>
    <w:rsid w:val="3E8D60DB"/>
    <w:rsid w:val="3EA4076A"/>
    <w:rsid w:val="3F044505"/>
    <w:rsid w:val="3F0721CE"/>
    <w:rsid w:val="3FE17BF7"/>
    <w:rsid w:val="40412952"/>
    <w:rsid w:val="40B6127D"/>
    <w:rsid w:val="40DA4087"/>
    <w:rsid w:val="41257748"/>
    <w:rsid w:val="414A3FC3"/>
    <w:rsid w:val="422A249D"/>
    <w:rsid w:val="424B0183"/>
    <w:rsid w:val="42C10446"/>
    <w:rsid w:val="431F5E31"/>
    <w:rsid w:val="4335324B"/>
    <w:rsid w:val="4359242C"/>
    <w:rsid w:val="44A52672"/>
    <w:rsid w:val="44B754FC"/>
    <w:rsid w:val="45335420"/>
    <w:rsid w:val="45BF6FB4"/>
    <w:rsid w:val="45C71A22"/>
    <w:rsid w:val="464233DA"/>
    <w:rsid w:val="466E2F70"/>
    <w:rsid w:val="470B6133"/>
    <w:rsid w:val="471E04C8"/>
    <w:rsid w:val="47566171"/>
    <w:rsid w:val="477C0DDF"/>
    <w:rsid w:val="47913485"/>
    <w:rsid w:val="4859464E"/>
    <w:rsid w:val="486A50DB"/>
    <w:rsid w:val="48C73E9C"/>
    <w:rsid w:val="49017087"/>
    <w:rsid w:val="49141A75"/>
    <w:rsid w:val="4962664C"/>
    <w:rsid w:val="4A292A47"/>
    <w:rsid w:val="4A7041C2"/>
    <w:rsid w:val="4B040EEE"/>
    <w:rsid w:val="4B1F6271"/>
    <w:rsid w:val="4B3378E2"/>
    <w:rsid w:val="4B4E50C3"/>
    <w:rsid w:val="4C4D2D4A"/>
    <w:rsid w:val="4E990D94"/>
    <w:rsid w:val="4FA9473B"/>
    <w:rsid w:val="501035B5"/>
    <w:rsid w:val="502A587C"/>
    <w:rsid w:val="505428F9"/>
    <w:rsid w:val="514B11B7"/>
    <w:rsid w:val="517B4915"/>
    <w:rsid w:val="51993FF3"/>
    <w:rsid w:val="521E31BF"/>
    <w:rsid w:val="5248023B"/>
    <w:rsid w:val="52631FEF"/>
    <w:rsid w:val="52753CB7"/>
    <w:rsid w:val="527C21AA"/>
    <w:rsid w:val="52805E8F"/>
    <w:rsid w:val="529C40E3"/>
    <w:rsid w:val="54147914"/>
    <w:rsid w:val="547937DA"/>
    <w:rsid w:val="54977258"/>
    <w:rsid w:val="55403F0C"/>
    <w:rsid w:val="568D43A2"/>
    <w:rsid w:val="56CA63A5"/>
    <w:rsid w:val="57555D84"/>
    <w:rsid w:val="57831324"/>
    <w:rsid w:val="57D83E10"/>
    <w:rsid w:val="57DA7C79"/>
    <w:rsid w:val="58256929"/>
    <w:rsid w:val="58CE2072"/>
    <w:rsid w:val="58DB5120"/>
    <w:rsid w:val="598B4398"/>
    <w:rsid w:val="59CB2704"/>
    <w:rsid w:val="5A2A46CB"/>
    <w:rsid w:val="5ACE14FA"/>
    <w:rsid w:val="5AE273B8"/>
    <w:rsid w:val="5B046A87"/>
    <w:rsid w:val="5B1B3152"/>
    <w:rsid w:val="5B2A6CC7"/>
    <w:rsid w:val="5B5D18BA"/>
    <w:rsid w:val="5BB81225"/>
    <w:rsid w:val="5C9E6806"/>
    <w:rsid w:val="5CB01430"/>
    <w:rsid w:val="5D211DB5"/>
    <w:rsid w:val="5DC26F05"/>
    <w:rsid w:val="5E7B3747"/>
    <w:rsid w:val="5E9D0766"/>
    <w:rsid w:val="5F3E6C4E"/>
    <w:rsid w:val="5F82147A"/>
    <w:rsid w:val="5F937648"/>
    <w:rsid w:val="5FE43B0F"/>
    <w:rsid w:val="601349CA"/>
    <w:rsid w:val="61B256D1"/>
    <w:rsid w:val="61C3168D"/>
    <w:rsid w:val="61FA2344"/>
    <w:rsid w:val="620767F7"/>
    <w:rsid w:val="62947442"/>
    <w:rsid w:val="62C51434"/>
    <w:rsid w:val="62E841B5"/>
    <w:rsid w:val="635E2006"/>
    <w:rsid w:val="64520AA6"/>
    <w:rsid w:val="64AF414A"/>
    <w:rsid w:val="64B35710"/>
    <w:rsid w:val="65113D5A"/>
    <w:rsid w:val="65534AD5"/>
    <w:rsid w:val="65832EC2"/>
    <w:rsid w:val="65C0294A"/>
    <w:rsid w:val="664E5D6F"/>
    <w:rsid w:val="676B33D9"/>
    <w:rsid w:val="678B22C6"/>
    <w:rsid w:val="67980606"/>
    <w:rsid w:val="67E83802"/>
    <w:rsid w:val="682A5401"/>
    <w:rsid w:val="694A68FB"/>
    <w:rsid w:val="694F76F4"/>
    <w:rsid w:val="6990454A"/>
    <w:rsid w:val="6A077D9F"/>
    <w:rsid w:val="6ABA55F7"/>
    <w:rsid w:val="6B207C0E"/>
    <w:rsid w:val="6C6121CE"/>
    <w:rsid w:val="6D06326B"/>
    <w:rsid w:val="6DD15131"/>
    <w:rsid w:val="6DD82463"/>
    <w:rsid w:val="6DE43465"/>
    <w:rsid w:val="6EAC276E"/>
    <w:rsid w:val="6EBB6D65"/>
    <w:rsid w:val="6EEB643D"/>
    <w:rsid w:val="6FB23B99"/>
    <w:rsid w:val="70380DBB"/>
    <w:rsid w:val="70D6480D"/>
    <w:rsid w:val="71096F26"/>
    <w:rsid w:val="720B284B"/>
    <w:rsid w:val="720E6636"/>
    <w:rsid w:val="72695938"/>
    <w:rsid w:val="72DA4A88"/>
    <w:rsid w:val="72FB231B"/>
    <w:rsid w:val="72FD6B97"/>
    <w:rsid w:val="73BB4064"/>
    <w:rsid w:val="742D0143"/>
    <w:rsid w:val="743D4844"/>
    <w:rsid w:val="7591656D"/>
    <w:rsid w:val="7601057E"/>
    <w:rsid w:val="76111A90"/>
    <w:rsid w:val="76603815"/>
    <w:rsid w:val="76687BE5"/>
    <w:rsid w:val="76F565D0"/>
    <w:rsid w:val="774E46E1"/>
    <w:rsid w:val="776F1B6F"/>
    <w:rsid w:val="77E51F05"/>
    <w:rsid w:val="797A48CF"/>
    <w:rsid w:val="79C773E8"/>
    <w:rsid w:val="7AB65E5C"/>
    <w:rsid w:val="7B6F2F3A"/>
    <w:rsid w:val="7B7A0BB6"/>
    <w:rsid w:val="7C935A51"/>
    <w:rsid w:val="7D20578D"/>
    <w:rsid w:val="7DBA34EC"/>
    <w:rsid w:val="7ED97E9F"/>
    <w:rsid w:val="7F49519C"/>
    <w:rsid w:val="7FB311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6">
    <w:name w:val="heading 1"/>
    <w:basedOn w:val="1"/>
    <w:next w:val="1"/>
    <w:link w:val="56"/>
    <w:qFormat/>
    <w:uiPriority w:val="0"/>
    <w:pPr>
      <w:keepNext/>
      <w:keepLines/>
      <w:spacing w:before="120"/>
      <w:outlineLvl w:val="0"/>
    </w:pPr>
    <w:rPr>
      <w:rFonts w:ascii="Times New Roman" w:hAnsi="Times New Roman" w:eastAsia="宋体"/>
      <w:b/>
      <w:kern w:val="44"/>
      <w:sz w:val="30"/>
    </w:rPr>
  </w:style>
  <w:style w:type="paragraph" w:styleId="7">
    <w:name w:val="heading 2"/>
    <w:basedOn w:val="1"/>
    <w:next w:val="1"/>
    <w:unhideWhenUsed/>
    <w:qFormat/>
    <w:uiPriority w:val="0"/>
    <w:pPr>
      <w:keepNext/>
      <w:keepLines/>
      <w:spacing w:line="288" w:lineRule="auto"/>
      <w:outlineLvl w:val="1"/>
    </w:pPr>
    <w:rPr>
      <w:rFonts w:ascii="Times New Roman" w:hAnsi="Times New Roman" w:eastAsia="宋体"/>
      <w:b/>
      <w:sz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after="120" w:line="240" w:lineRule="auto"/>
      <w:ind w:left="420" w:leftChars="200" w:firstLine="420" w:firstLineChars="200"/>
    </w:pPr>
    <w:rPr>
      <w:rFonts w:eastAsia="仿宋_GB2312"/>
      <w:snapToGrid w:val="0"/>
      <w:color w:val="000000"/>
      <w:sz w:val="28"/>
    </w:rPr>
  </w:style>
  <w:style w:type="paragraph" w:styleId="3">
    <w:name w:val="Body Text Indent"/>
    <w:basedOn w:val="1"/>
    <w:next w:val="4"/>
    <w:qFormat/>
    <w:uiPriority w:val="0"/>
    <w:pPr>
      <w:spacing w:line="360" w:lineRule="auto"/>
      <w:ind w:firstLine="600" w:firstLineChars="250"/>
    </w:pPr>
    <w:rPr>
      <w:color w:val="FF0000"/>
      <w:sz w:val="24"/>
    </w:rPr>
  </w:style>
  <w:style w:type="paragraph" w:customStyle="1" w:styleId="4">
    <w:name w:val="样式 正文文本缩进 + 行距: 1.5 倍行距"/>
    <w:basedOn w:val="5"/>
    <w:next w:val="1"/>
    <w:qFormat/>
    <w:uiPriority w:val="0"/>
    <w:pPr>
      <w:spacing w:after="120" w:line="360" w:lineRule="auto"/>
      <w:ind w:left="90" w:leftChars="32" w:firstLine="560" w:firstLineChars="200"/>
    </w:pPr>
    <w:rPr>
      <w:rFonts w:cs="宋体"/>
      <w:sz w:val="24"/>
    </w:rPr>
  </w:style>
  <w:style w:type="paragraph" w:customStyle="1" w:styleId="5">
    <w:name w:val="Body Text Indent"/>
    <w:basedOn w:val="1"/>
    <w:next w:val="4"/>
    <w:qFormat/>
    <w:uiPriority w:val="0"/>
    <w:pPr>
      <w:spacing w:after="120" w:afterLines="0"/>
      <w:ind w:left="420" w:leftChars="200"/>
    </w:pPr>
    <w:rPr>
      <w:rFonts w:ascii="Times New Roman" w:hAnsi="Times New Roman" w:eastAsia="宋体"/>
      <w:sz w:val="24"/>
    </w:rPr>
  </w:style>
  <w:style w:type="paragraph" w:styleId="8">
    <w:name w:val="Normal Indent"/>
    <w:basedOn w:val="1"/>
    <w:unhideWhenUsed/>
    <w:qFormat/>
    <w:uiPriority w:val="0"/>
    <w:pPr>
      <w:ind w:firstLine="420" w:firstLineChars="200"/>
    </w:pPr>
  </w:style>
  <w:style w:type="paragraph" w:styleId="9">
    <w:name w:val="annotation text"/>
    <w:basedOn w:val="1"/>
    <w:link w:val="50"/>
    <w:qFormat/>
    <w:uiPriority w:val="0"/>
  </w:style>
  <w:style w:type="paragraph" w:styleId="10">
    <w:name w:val="Body Text"/>
    <w:basedOn w:val="1"/>
    <w:qFormat/>
    <w:uiPriority w:val="0"/>
    <w:pPr>
      <w:spacing w:after="120"/>
    </w:pPr>
  </w:style>
  <w:style w:type="paragraph" w:styleId="11">
    <w:name w:val="Plain Text"/>
    <w:basedOn w:val="1"/>
    <w:qFormat/>
    <w:uiPriority w:val="0"/>
    <w:rPr>
      <w:rFonts w:ascii="宋体" w:hAnsi="Courier New"/>
      <w:szCs w:val="21"/>
    </w:rPr>
  </w:style>
  <w:style w:type="paragraph" w:styleId="12">
    <w:name w:val="Body Text Indent 2"/>
    <w:basedOn w:val="1"/>
    <w:unhideWhenUsed/>
    <w:qFormat/>
    <w:uiPriority w:val="99"/>
    <w:pPr>
      <w:spacing w:after="120" w:line="480" w:lineRule="auto"/>
      <w:ind w:left="420" w:leftChars="200"/>
    </w:pPr>
  </w:style>
  <w:style w:type="paragraph" w:styleId="13">
    <w:name w:val="Balloon Text"/>
    <w:basedOn w:val="1"/>
    <w:link w:val="52"/>
    <w:qFormat/>
    <w:uiPriority w:val="0"/>
    <w:pPr>
      <w:spacing w:after="0"/>
    </w:pPr>
    <w:rPr>
      <w:sz w:val="18"/>
      <w:szCs w:val="18"/>
    </w:rPr>
  </w:style>
  <w:style w:type="paragraph" w:styleId="14">
    <w:name w:val="footer"/>
    <w:basedOn w:val="1"/>
    <w:qFormat/>
    <w:uiPriority w:val="0"/>
    <w:pPr>
      <w:tabs>
        <w:tab w:val="center" w:pos="4153"/>
        <w:tab w:val="right" w:pos="8306"/>
      </w:tabs>
    </w:pPr>
    <w:rPr>
      <w:sz w:val="18"/>
      <w:szCs w:val="18"/>
    </w:rPr>
  </w:style>
  <w:style w:type="paragraph" w:styleId="15">
    <w:name w:val="header"/>
    <w:basedOn w:val="1"/>
    <w:next w:val="16"/>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customStyle="1" w:styleId="16">
    <w:name w:val="样式5"/>
    <w:basedOn w:val="17"/>
    <w:qFormat/>
    <w:uiPriority w:val="0"/>
    <w:pPr>
      <w:spacing w:line="360" w:lineRule="auto"/>
      <w:ind w:firstLine="480" w:firstLineChars="200"/>
    </w:pPr>
    <w:rPr>
      <w:rFonts w:ascii="Times New Roman" w:hAnsi="Times New Roman" w:eastAsia="仿宋_GB2312"/>
      <w:kern w:val="0"/>
      <w:sz w:val="24"/>
      <w:szCs w:val="24"/>
    </w:rPr>
  </w:style>
  <w:style w:type="paragraph" w:customStyle="1" w:styleId="17">
    <w:name w:val="正文1"/>
    <w:basedOn w:val="1"/>
    <w:next w:val="1"/>
    <w:qFormat/>
    <w:uiPriority w:val="0"/>
    <w:pPr>
      <w:keepNext w:val="0"/>
      <w:keepLines w:val="0"/>
      <w:widowControl w:val="0"/>
      <w:suppressLineNumbers w:val="0"/>
      <w:spacing w:before="0" w:beforeAutospacing="0" w:after="0" w:afterAutospacing="0"/>
      <w:ind w:left="0" w:right="0" w:firstLine="200" w:firstLineChars="200"/>
      <w:jc w:val="both"/>
    </w:pPr>
    <w:rPr>
      <w:rFonts w:hint="eastAsia" w:ascii="仿宋_GB2312" w:hAnsi="Times New Roman" w:eastAsia="仿宋_GB2312" w:cs="宋体"/>
      <w:kern w:val="2"/>
      <w:sz w:val="21"/>
      <w:szCs w:val="20"/>
      <w:lang w:val="en-US" w:eastAsia="zh-CN" w:bidi="ar"/>
    </w:rPr>
  </w:style>
  <w:style w:type="paragraph" w:styleId="18">
    <w:name w:val="toc 1"/>
    <w:basedOn w:val="1"/>
    <w:next w:val="1"/>
    <w:semiHidden/>
    <w:qFormat/>
    <w:uiPriority w:val="0"/>
    <w:pPr>
      <w:tabs>
        <w:tab w:val="right" w:leader="dot" w:pos="8836"/>
      </w:tabs>
      <w:jc w:val="center"/>
    </w:pPr>
    <w:rPr>
      <w:rFonts w:ascii="宋体" w:hAnsi="宋体"/>
      <w:sz w:val="32"/>
    </w:rPr>
  </w:style>
  <w:style w:type="paragraph" w:styleId="19">
    <w:name w:val="Body Text Indent 3"/>
    <w:basedOn w:val="1"/>
    <w:qFormat/>
    <w:uiPriority w:val="0"/>
    <w:pPr>
      <w:ind w:firstLine="480"/>
    </w:pPr>
    <w:rPr>
      <w:rFonts w:ascii="新宋体" w:hAnsi="新宋体" w:eastAsia="新宋体"/>
      <w:sz w:val="24"/>
    </w:rPr>
  </w:style>
  <w:style w:type="paragraph" w:styleId="20">
    <w:name w:val="Normal (Web)"/>
    <w:basedOn w:val="1"/>
    <w:qFormat/>
    <w:uiPriority w:val="0"/>
    <w:pPr>
      <w:widowControl/>
      <w:spacing w:before="100" w:beforeAutospacing="1" w:after="100" w:afterAutospacing="1"/>
      <w:jc w:val="left"/>
    </w:pPr>
    <w:rPr>
      <w:rFonts w:ascii="宋体" w:hAnsi="宋体" w:cs="宋体"/>
      <w:color w:val="000000"/>
      <w:kern w:val="0"/>
    </w:rPr>
  </w:style>
  <w:style w:type="paragraph" w:styleId="21">
    <w:name w:val="annotation subject"/>
    <w:basedOn w:val="9"/>
    <w:next w:val="9"/>
    <w:link w:val="51"/>
    <w:qFormat/>
    <w:uiPriority w:val="0"/>
    <w:rPr>
      <w:b/>
      <w:bCs/>
    </w:rPr>
  </w:style>
  <w:style w:type="paragraph" w:styleId="22">
    <w:name w:val="Body Text First Indent"/>
    <w:basedOn w:val="10"/>
    <w:next w:val="1"/>
    <w:qFormat/>
    <w:uiPriority w:val="0"/>
    <w:pPr>
      <w:ind w:firstLine="420" w:firstLineChars="100"/>
    </w:pPr>
    <w:rPr>
      <w:szCs w:val="20"/>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FollowedHyperlink"/>
    <w:basedOn w:val="25"/>
    <w:qFormat/>
    <w:uiPriority w:val="0"/>
    <w:rPr>
      <w:color w:val="0084FF"/>
      <w:u w:val="none"/>
    </w:rPr>
  </w:style>
  <w:style w:type="character" w:styleId="29">
    <w:name w:val="Emphasis"/>
    <w:basedOn w:val="25"/>
    <w:qFormat/>
    <w:uiPriority w:val="0"/>
  </w:style>
  <w:style w:type="character" w:styleId="30">
    <w:name w:val="Hyperlink"/>
    <w:basedOn w:val="25"/>
    <w:qFormat/>
    <w:uiPriority w:val="0"/>
    <w:rPr>
      <w:color w:val="0084FF"/>
      <w:u w:val="none"/>
    </w:rPr>
  </w:style>
  <w:style w:type="character" w:styleId="31">
    <w:name w:val="HTML Code"/>
    <w:basedOn w:val="25"/>
    <w:qFormat/>
    <w:uiPriority w:val="0"/>
    <w:rPr>
      <w:rFonts w:hint="default" w:ascii="monospace" w:hAnsi="monospace" w:eastAsia="monospace" w:cs="monospace"/>
      <w:sz w:val="21"/>
      <w:szCs w:val="21"/>
    </w:rPr>
  </w:style>
  <w:style w:type="character" w:styleId="32">
    <w:name w:val="annotation reference"/>
    <w:basedOn w:val="25"/>
    <w:qFormat/>
    <w:uiPriority w:val="0"/>
    <w:rPr>
      <w:sz w:val="21"/>
      <w:szCs w:val="21"/>
    </w:rPr>
  </w:style>
  <w:style w:type="character" w:styleId="33">
    <w:name w:val="HTML Keyboard"/>
    <w:basedOn w:val="25"/>
    <w:qFormat/>
    <w:uiPriority w:val="0"/>
    <w:rPr>
      <w:rFonts w:hint="default" w:ascii="monospace" w:hAnsi="monospace" w:eastAsia="monospace" w:cs="monospace"/>
      <w:color w:val="FFAF25"/>
      <w:sz w:val="21"/>
      <w:szCs w:val="21"/>
    </w:rPr>
  </w:style>
  <w:style w:type="character" w:styleId="34">
    <w:name w:val="HTML Sample"/>
    <w:basedOn w:val="25"/>
    <w:qFormat/>
    <w:uiPriority w:val="0"/>
    <w:rPr>
      <w:rFonts w:ascii="monospace" w:hAnsi="monospace" w:eastAsia="monospace" w:cs="monospace"/>
      <w:sz w:val="21"/>
      <w:szCs w:val="21"/>
    </w:rPr>
  </w:style>
  <w:style w:type="paragraph" w:customStyle="1" w:styleId="35">
    <w:name w:val="正文文本缩进1"/>
    <w:basedOn w:val="1"/>
    <w:next w:val="4"/>
    <w:qFormat/>
    <w:uiPriority w:val="0"/>
    <w:pPr>
      <w:ind w:left="420" w:leftChars="200"/>
    </w:pPr>
  </w:style>
  <w:style w:type="paragraph" w:customStyle="1" w:styleId="3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7">
    <w:name w:val="图表"/>
    <w:qFormat/>
    <w:uiPriority w:val="0"/>
    <w:pPr>
      <w:jc w:val="center"/>
    </w:pPr>
    <w:rPr>
      <w:rFonts w:ascii="Times New Roman" w:hAnsi="Times New Roman" w:eastAsia="仿宋_GB2312" w:cs="Times New Roman"/>
      <w:b/>
      <w:kern w:val="2"/>
      <w:sz w:val="24"/>
      <w:szCs w:val="24"/>
      <w:lang w:val="en-US" w:eastAsia="zh-CN" w:bidi="ar-SA"/>
    </w:rPr>
  </w:style>
  <w:style w:type="paragraph" w:customStyle="1" w:styleId="38">
    <w:name w:val="中文报告书样式"/>
    <w:basedOn w:val="1"/>
    <w:qFormat/>
    <w:uiPriority w:val="0"/>
    <w:pPr>
      <w:spacing w:line="480" w:lineRule="atLeast"/>
      <w:ind w:firstLine="482"/>
      <w:textAlignment w:val="baseline"/>
    </w:pPr>
    <w:rPr>
      <w:kern w:val="24"/>
      <w:sz w:val="24"/>
      <w:szCs w:val="20"/>
    </w:rPr>
  </w:style>
  <w:style w:type="paragraph" w:customStyle="1" w:styleId="39">
    <w:name w:val="列出段落1"/>
    <w:basedOn w:val="1"/>
    <w:qFormat/>
    <w:uiPriority w:val="0"/>
    <w:pPr>
      <w:ind w:firstLine="420" w:firstLineChars="200"/>
    </w:pPr>
  </w:style>
  <w:style w:type="paragraph" w:customStyle="1" w:styleId="40">
    <w:name w:val="表头"/>
    <w:basedOn w:val="8"/>
    <w:qFormat/>
    <w:uiPriority w:val="0"/>
    <w:pPr>
      <w:spacing w:line="500" w:lineRule="exact"/>
      <w:ind w:firstLine="561"/>
      <w:jc w:val="center"/>
      <w:textAlignment w:val="baseline"/>
    </w:pPr>
    <w:rPr>
      <w:rFonts w:ascii="宋体" w:hAnsi="宋体"/>
      <w:b/>
      <w:sz w:val="28"/>
      <w:szCs w:val="20"/>
    </w:rPr>
  </w:style>
  <w:style w:type="paragraph" w:customStyle="1" w:styleId="41">
    <w:name w:val="1、大表格内"/>
    <w:basedOn w:val="1"/>
    <w:qFormat/>
    <w:uiPriority w:val="0"/>
    <w:pPr>
      <w:keepNext/>
      <w:keepLines/>
      <w:autoSpaceDE w:val="0"/>
      <w:autoSpaceDN w:val="0"/>
      <w:spacing w:line="360" w:lineRule="auto"/>
      <w:ind w:firstLine="480" w:firstLineChars="200"/>
      <w:textAlignment w:val="bottom"/>
    </w:pPr>
    <w:rPr>
      <w:sz w:val="24"/>
      <w:szCs w:val="20"/>
    </w:rPr>
  </w:style>
  <w:style w:type="paragraph" w:customStyle="1" w:styleId="42">
    <w:name w:val="报告"/>
    <w:basedOn w:val="1"/>
    <w:qFormat/>
    <w:uiPriority w:val="0"/>
    <w:pPr>
      <w:spacing w:line="360" w:lineRule="auto"/>
      <w:ind w:firstLine="505"/>
      <w:textAlignment w:val="center"/>
    </w:pPr>
    <w:rPr>
      <w:rFonts w:ascii="TimesNewRoman" w:hAnsi="TimesNewRoman"/>
      <w:sz w:val="24"/>
      <w:szCs w:val="20"/>
    </w:rPr>
  </w:style>
  <w:style w:type="character" w:customStyle="1" w:styleId="43">
    <w:name w:val="正文5号 Char"/>
    <w:semiHidden/>
    <w:qFormat/>
    <w:uiPriority w:val="0"/>
    <w:rPr>
      <w:rFonts w:eastAsia="宋体"/>
      <w:kern w:val="2"/>
      <w:sz w:val="21"/>
      <w:lang w:val="en-US" w:eastAsia="zh-CN" w:bidi="ar-SA"/>
    </w:rPr>
  </w:style>
  <w:style w:type="paragraph" w:customStyle="1" w:styleId="44">
    <w:name w:val="表格"/>
    <w:basedOn w:val="8"/>
    <w:next w:val="8"/>
    <w:qFormat/>
    <w:uiPriority w:val="0"/>
    <w:pPr>
      <w:jc w:val="center"/>
    </w:pPr>
    <w:rPr>
      <w:sz w:val="24"/>
    </w:rPr>
  </w:style>
  <w:style w:type="character" w:customStyle="1" w:styleId="45">
    <w:name w:val="icon30"/>
    <w:basedOn w:val="25"/>
    <w:qFormat/>
    <w:uiPriority w:val="0"/>
  </w:style>
  <w:style w:type="character" w:customStyle="1" w:styleId="46">
    <w:name w:val="icon31"/>
    <w:basedOn w:val="25"/>
    <w:qFormat/>
    <w:uiPriority w:val="0"/>
  </w:style>
  <w:style w:type="character" w:customStyle="1" w:styleId="47">
    <w:name w:val="icon32"/>
    <w:basedOn w:val="25"/>
    <w:qFormat/>
    <w:uiPriority w:val="0"/>
  </w:style>
  <w:style w:type="character" w:customStyle="1" w:styleId="48">
    <w:name w:val="active6"/>
    <w:basedOn w:val="25"/>
    <w:qFormat/>
    <w:uiPriority w:val="0"/>
    <w:rPr>
      <w:color w:val="FFFFFF"/>
      <w:shd w:val="clear" w:color="auto" w:fill="0084FF"/>
    </w:rPr>
  </w:style>
  <w:style w:type="character" w:customStyle="1" w:styleId="49">
    <w:name w:val="first-child"/>
    <w:basedOn w:val="25"/>
    <w:qFormat/>
    <w:uiPriority w:val="0"/>
  </w:style>
  <w:style w:type="character" w:customStyle="1" w:styleId="50">
    <w:name w:val="批注文字 Char"/>
    <w:basedOn w:val="25"/>
    <w:link w:val="9"/>
    <w:qFormat/>
    <w:uiPriority w:val="0"/>
    <w:rPr>
      <w:rFonts w:ascii="Tahoma" w:hAnsi="Tahoma" w:eastAsia="微软雅黑"/>
      <w:sz w:val="22"/>
      <w:szCs w:val="22"/>
    </w:rPr>
  </w:style>
  <w:style w:type="character" w:customStyle="1" w:styleId="51">
    <w:name w:val="批注主题 Char"/>
    <w:basedOn w:val="50"/>
    <w:link w:val="21"/>
    <w:qFormat/>
    <w:uiPriority w:val="0"/>
    <w:rPr>
      <w:rFonts w:ascii="Tahoma" w:hAnsi="Tahoma" w:eastAsia="微软雅黑"/>
      <w:b/>
      <w:bCs/>
      <w:sz w:val="22"/>
      <w:szCs w:val="22"/>
    </w:rPr>
  </w:style>
  <w:style w:type="character" w:customStyle="1" w:styleId="52">
    <w:name w:val="批注框文本 Char"/>
    <w:basedOn w:val="25"/>
    <w:link w:val="13"/>
    <w:qFormat/>
    <w:uiPriority w:val="0"/>
    <w:rPr>
      <w:rFonts w:ascii="Tahoma" w:hAnsi="Tahoma" w:eastAsia="微软雅黑"/>
      <w:sz w:val="18"/>
      <w:szCs w:val="18"/>
    </w:rPr>
  </w:style>
  <w:style w:type="paragraph" w:customStyle="1" w:styleId="53">
    <w:name w:val="表格样式"/>
    <w:basedOn w:val="54"/>
    <w:qFormat/>
    <w:uiPriority w:val="0"/>
    <w:pPr>
      <w:spacing w:line="240" w:lineRule="auto"/>
      <w:ind w:firstLine="0"/>
      <w:jc w:val="center"/>
    </w:pPr>
  </w:style>
  <w:style w:type="paragraph" w:customStyle="1" w:styleId="54">
    <w:name w:val="0正文"/>
    <w:basedOn w:val="1"/>
    <w:qFormat/>
    <w:uiPriority w:val="0"/>
    <w:pPr>
      <w:spacing w:line="360" w:lineRule="auto"/>
      <w:ind w:firstLine="482"/>
    </w:pPr>
    <w:rPr>
      <w:kern w:val="0"/>
      <w:sz w:val="24"/>
      <w:szCs w:val="20"/>
      <w:lang w:bidi="en-US"/>
    </w:rPr>
  </w:style>
  <w:style w:type="paragraph" w:styleId="55">
    <w:name w:val="List Paragraph"/>
    <w:basedOn w:val="1"/>
    <w:qFormat/>
    <w:uiPriority w:val="34"/>
    <w:pPr>
      <w:ind w:firstLine="420" w:firstLineChars="200"/>
    </w:pPr>
  </w:style>
  <w:style w:type="character" w:customStyle="1" w:styleId="56">
    <w:name w:val="标题 1 Char"/>
    <w:link w:val="6"/>
    <w:qFormat/>
    <w:uiPriority w:val="0"/>
    <w:rPr>
      <w:rFonts w:ascii="Times New Roman" w:hAnsi="Times New Roman" w:eastAsia="宋体"/>
      <w:b/>
      <w:kern w:val="44"/>
      <w:sz w:val="30"/>
    </w:rPr>
  </w:style>
  <w:style w:type="paragraph" w:customStyle="1" w:styleId="57">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58">
    <w:name w:val="样式 样式 样式 样式 小四 左 首行缩进:  2 字符 + 首行缩进:  2 字符 Char + 右  0 字符1 + 首行缩...3"/>
    <w:basedOn w:val="1"/>
    <w:qFormat/>
    <w:uiPriority w:val="0"/>
    <w:pPr>
      <w:adjustRightInd w:val="0"/>
      <w:ind w:firstLine="480" w:firstLineChars="200"/>
      <w:jc w:val="left"/>
      <w:textAlignment w:val="baseline"/>
    </w:pPr>
    <w:rPr>
      <w:rFonts w:cs="宋体"/>
      <w:szCs w:val="20"/>
    </w:rPr>
  </w:style>
  <w:style w:type="character" w:customStyle="1" w:styleId="59">
    <w:name w:val="font41"/>
    <w:basedOn w:val="25"/>
    <w:qFormat/>
    <w:uiPriority w:val="0"/>
    <w:rPr>
      <w:rFonts w:hint="eastAsia" w:ascii="宋体" w:hAnsi="宋体" w:eastAsia="宋体" w:cs="宋体"/>
      <w:color w:val="000000"/>
      <w:sz w:val="22"/>
      <w:szCs w:val="22"/>
      <w:u w:val="none"/>
    </w:rPr>
  </w:style>
  <w:style w:type="character" w:customStyle="1" w:styleId="60">
    <w:name w:val="font51"/>
    <w:basedOn w:val="25"/>
    <w:qFormat/>
    <w:uiPriority w:val="0"/>
    <w:rPr>
      <w:rFonts w:hint="default" w:ascii="Times New Roman" w:hAnsi="Times New Roman" w:cs="Times New Roman"/>
      <w:color w:val="000000"/>
      <w:sz w:val="22"/>
      <w:szCs w:val="22"/>
      <w:u w:val="none"/>
    </w:rPr>
  </w:style>
  <w:style w:type="character" w:customStyle="1" w:styleId="61">
    <w:name w:val="NormalCharacter"/>
    <w:semiHidden/>
    <w:qFormat/>
    <w:uiPriority w:val="0"/>
  </w:style>
  <w:style w:type="paragraph" w:customStyle="1" w:styleId="62">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4.xml"/><Relationship Id="rId7" Type="http://schemas.openxmlformats.org/officeDocument/2006/relationships/header" Target="header1.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image" Target="media/image41.jpeg"/><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image" Target="media/image38.jpeg"/><Relationship Id="rId52" Type="http://schemas.openxmlformats.org/officeDocument/2006/relationships/image" Target="media/image37.jpeg"/><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footer" Target="footer2.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footer" Target="footer1.xml"/><Relationship Id="rId39" Type="http://schemas.openxmlformats.org/officeDocument/2006/relationships/image" Target="media/image24.jpe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3.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38</Pages>
  <Words>17076</Words>
  <Characters>20895</Characters>
  <Lines>138</Lines>
  <Paragraphs>39</Paragraphs>
  <TotalTime>0</TotalTime>
  <ScaleCrop>false</ScaleCrop>
  <LinksUpToDate>false</LinksUpToDate>
  <CharactersWithSpaces>21132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2019-06-18T08:27:00Z</dcterms:created>
  <dc:creator>晨曦lian</dc:creator>
  <cp:lastModifiedBy>半</cp:lastModifiedBy>
  <cp:lastPrinted>2023-02-07T01:07:00Z</cp:lastPrinted>
  <dcterms:modified xsi:type="dcterms:W3CDTF">2023-02-21T09:00:50Z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E2315CF7C26642CEAC57D5C6F8CD308A</vt:lpwstr>
  </property>
</Properties>
</file>